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default" w:ascii="Times New Roman" w:hAnsi="Times New Roman" w:eastAsia="黑体" w:cs="Times New Roman"/>
          <w:snapToGrid w:val="0"/>
          <w:kern w:val="0"/>
          <w:sz w:val="32"/>
          <w:szCs w:val="32"/>
          <w:lang w:eastAsia="zh-CN"/>
        </w:rPr>
      </w:pPr>
      <w:r>
        <w:rPr>
          <w:rFonts w:hint="default" w:ascii="Times New Roman" w:hAnsi="Times New Roman" w:eastAsia="黑体" w:cs="Times New Roman"/>
          <w:snapToGrid w:val="0"/>
          <w:kern w:val="0"/>
          <w:sz w:val="32"/>
          <w:szCs w:val="32"/>
        </w:rPr>
        <w:t>附件</w:t>
      </w:r>
      <w:r>
        <w:rPr>
          <w:rFonts w:hint="default" w:ascii="Times New Roman" w:hAnsi="Times New Roman" w:eastAsia="黑体" w:cs="Times New Roman"/>
          <w:snapToGrid w:val="0"/>
          <w:kern w:val="0"/>
          <w:sz w:val="32"/>
          <w:szCs w:val="32"/>
          <w:lang w:val="en-US" w:eastAsia="zh-CN"/>
        </w:rPr>
        <w:t>1</w:t>
      </w:r>
    </w:p>
    <w:p>
      <w:pPr>
        <w:spacing w:line="590" w:lineRule="exact"/>
        <w:jc w:val="center"/>
        <w:rPr>
          <w:rFonts w:hint="default" w:ascii="Times New Roman" w:hAnsi="Times New Roman" w:eastAsia="仿宋_GB2312" w:cs="Times New Roman"/>
          <w:color w:val="000000"/>
          <w:sz w:val="32"/>
          <w:szCs w:val="32"/>
        </w:rPr>
      </w:pPr>
    </w:p>
    <w:p>
      <w:pPr>
        <w:spacing w:line="590" w:lineRule="exact"/>
        <w:jc w:val="center"/>
        <w:rPr>
          <w:rFonts w:hint="default" w:ascii="Times New Roman" w:hAnsi="Times New Roman" w:eastAsia="仿宋_GB2312" w:cs="Times New Roman"/>
          <w:color w:val="000000"/>
          <w:sz w:val="32"/>
          <w:szCs w:val="32"/>
        </w:rPr>
      </w:pPr>
    </w:p>
    <w:p>
      <w:pPr>
        <w:spacing w:line="800" w:lineRule="exact"/>
        <w:jc w:val="center"/>
        <w:rPr>
          <w:rFonts w:hint="default" w:ascii="Times New Roman" w:hAnsi="Times New Roman" w:eastAsia="方正小标宋简体" w:cs="Times New Roman"/>
          <w:color w:val="000000"/>
          <w:sz w:val="52"/>
          <w:szCs w:val="52"/>
        </w:rPr>
      </w:pPr>
      <w:bookmarkStart w:id="0" w:name="_GoBack"/>
      <w:r>
        <w:rPr>
          <w:rFonts w:hint="default" w:ascii="Times New Roman" w:hAnsi="Times New Roman" w:eastAsia="方正小标宋简体" w:cs="Times New Roman"/>
          <w:color w:val="000000"/>
          <w:sz w:val="52"/>
          <w:szCs w:val="52"/>
        </w:rPr>
        <w:t>广州市白云区农业龙头企业</w:t>
      </w:r>
    </w:p>
    <w:p>
      <w:pPr>
        <w:spacing w:line="80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申报表</w:t>
      </w:r>
    </w:p>
    <w:bookmarkEnd w:id="0"/>
    <w:p>
      <w:pPr>
        <w:spacing w:line="1200" w:lineRule="exact"/>
        <w:rPr>
          <w:rFonts w:hint="default" w:ascii="Times New Roman" w:hAnsi="Times New Roman" w:eastAsia="方正小标宋简体" w:cs="Times New Roman"/>
          <w:color w:val="000000"/>
          <w:sz w:val="72"/>
          <w:szCs w:val="72"/>
        </w:rPr>
      </w:pPr>
      <w:r>
        <w:rPr>
          <w:rFonts w:hint="default" w:ascii="Times New Roman" w:hAnsi="Times New Roman" w:eastAsia="方正小标宋简体" w:cs="Times New Roman"/>
          <w:color w:val="000000"/>
          <w:sz w:val="72"/>
          <w:szCs w:val="72"/>
        </w:rPr>
        <w:t xml:space="preserve">        </w:t>
      </w:r>
    </w:p>
    <w:p>
      <w:pPr>
        <w:spacing w:line="590" w:lineRule="exact"/>
        <w:jc w:val="center"/>
        <w:rPr>
          <w:rFonts w:hint="default" w:ascii="Times New Roman" w:hAnsi="Times New Roman" w:eastAsia="仿宋_GB2312" w:cs="Times New Roman"/>
          <w:color w:val="000000"/>
          <w:sz w:val="32"/>
          <w:szCs w:val="32"/>
        </w:rPr>
      </w:pPr>
    </w:p>
    <w:p>
      <w:pPr>
        <w:spacing w:line="590" w:lineRule="exact"/>
        <w:jc w:val="center"/>
        <w:rPr>
          <w:rFonts w:hint="default" w:ascii="Times New Roman" w:hAnsi="Times New Roman" w:eastAsia="仿宋_GB2312" w:cs="Times New Roman"/>
          <w:color w:val="000000"/>
          <w:sz w:val="32"/>
          <w:szCs w:val="32"/>
        </w:rPr>
      </w:pPr>
    </w:p>
    <w:p>
      <w:pPr>
        <w:spacing w:line="590" w:lineRule="exact"/>
        <w:jc w:val="center"/>
        <w:rPr>
          <w:rFonts w:hint="default" w:ascii="Times New Roman" w:hAnsi="Times New Roman" w:eastAsia="仿宋_GB2312" w:cs="Times New Roman"/>
          <w:color w:val="000000"/>
          <w:sz w:val="32"/>
          <w:szCs w:val="32"/>
        </w:rPr>
      </w:pPr>
    </w:p>
    <w:p>
      <w:pPr>
        <w:spacing w:line="590" w:lineRule="exact"/>
        <w:jc w:val="center"/>
        <w:rPr>
          <w:rFonts w:hint="default" w:ascii="Times New Roman" w:hAnsi="Times New Roman" w:eastAsia="仿宋_GB2312" w:cs="Times New Roman"/>
          <w:color w:val="000000"/>
          <w:sz w:val="32"/>
          <w:szCs w:val="32"/>
        </w:rPr>
      </w:pPr>
    </w:p>
    <w:p>
      <w:pPr>
        <w:spacing w:line="590" w:lineRule="exact"/>
        <w:jc w:val="center"/>
        <w:rPr>
          <w:rFonts w:hint="default" w:ascii="Times New Roman" w:hAnsi="Times New Roman" w:eastAsia="仿宋_GB2312" w:cs="Times New Roman"/>
          <w:color w:val="000000"/>
          <w:sz w:val="32"/>
          <w:szCs w:val="32"/>
        </w:rPr>
      </w:pPr>
    </w:p>
    <w:p>
      <w:pPr>
        <w:spacing w:line="590" w:lineRule="exact"/>
        <w:jc w:val="center"/>
        <w:rPr>
          <w:rFonts w:hint="default" w:ascii="Times New Roman" w:hAnsi="Times New Roman" w:eastAsia="仿宋_GB2312" w:cs="Times New Roman"/>
          <w:color w:val="000000"/>
          <w:sz w:val="32"/>
          <w:szCs w:val="32"/>
        </w:rPr>
      </w:pPr>
    </w:p>
    <w:p>
      <w:pPr>
        <w:spacing w:line="590" w:lineRule="exact"/>
        <w:jc w:val="center"/>
        <w:rPr>
          <w:rFonts w:hint="default" w:ascii="Times New Roman" w:hAnsi="Times New Roman" w:eastAsia="仿宋_GB2312" w:cs="Times New Roman"/>
          <w:color w:val="000000"/>
          <w:sz w:val="32"/>
          <w:szCs w:val="32"/>
        </w:rPr>
      </w:pPr>
    </w:p>
    <w:p>
      <w:pPr>
        <w:spacing w:line="590" w:lineRule="exact"/>
        <w:jc w:val="center"/>
        <w:rPr>
          <w:rFonts w:hint="default" w:ascii="Times New Roman" w:hAnsi="Times New Roman" w:eastAsia="仿宋_GB2312" w:cs="Times New Roman"/>
          <w:color w:val="000000"/>
          <w:sz w:val="32"/>
          <w:szCs w:val="32"/>
        </w:rPr>
      </w:pPr>
    </w:p>
    <w:p>
      <w:pPr>
        <w:spacing w:line="590" w:lineRule="exact"/>
        <w:rPr>
          <w:rFonts w:hint="default" w:ascii="Times New Roman" w:hAnsi="Times New Roman" w:eastAsia="仿宋_GB2312" w:cs="Times New Roman"/>
          <w:color w:val="000000"/>
          <w:sz w:val="32"/>
          <w:szCs w:val="32"/>
        </w:rPr>
      </w:pPr>
    </w:p>
    <w:p>
      <w:pPr>
        <w:spacing w:line="590" w:lineRule="exact"/>
        <w:jc w:val="center"/>
        <w:rPr>
          <w:rFonts w:hint="default" w:ascii="Times New Roman" w:hAnsi="Times New Roman" w:eastAsia="仿宋_GB2312" w:cs="Times New Roman"/>
          <w:color w:val="000000"/>
          <w:sz w:val="32"/>
          <w:szCs w:val="32"/>
        </w:rPr>
      </w:pPr>
    </w:p>
    <w:p>
      <w:pPr>
        <w:spacing w:line="590" w:lineRule="exact"/>
        <w:ind w:firstLine="1280" w:firstLineChars="400"/>
        <w:rPr>
          <w:rFonts w:hint="default" w:ascii="Times New Roman" w:hAnsi="Times New Roman" w:cs="Times New Roman"/>
          <w:color w:val="000000"/>
          <w:sz w:val="32"/>
          <w:szCs w:val="32"/>
        </w:rPr>
      </w:pPr>
      <w:r>
        <w:rPr>
          <w:rFonts w:hint="default" w:ascii="Times New Roman" w:hAnsi="Times New Roman" w:eastAsia="仿宋_GB2312" w:cs="Times New Roman"/>
          <w:color w:val="000000"/>
          <w:sz w:val="32"/>
          <w:szCs w:val="32"/>
        </w:rPr>
        <w:t>单位名称：</w:t>
      </w:r>
      <w:r>
        <w:rPr>
          <w:rFonts w:hint="default" w:ascii="Times New Roman" w:hAnsi="Times New Roman" w:cs="Times New Roman"/>
          <w:color w:val="000000"/>
          <w:sz w:val="32"/>
          <w:szCs w:val="32"/>
          <w:u w:val="single" w:color="000000"/>
        </w:rPr>
        <w:t>___________________________</w:t>
      </w:r>
    </w:p>
    <w:p>
      <w:pPr>
        <w:spacing w:line="590" w:lineRule="exact"/>
        <w:ind w:firstLine="1280" w:firstLineChars="400"/>
        <w:rPr>
          <w:rFonts w:hint="default" w:ascii="Times New Roman" w:hAnsi="Times New Roman" w:eastAsia="仿宋_GB2312" w:cs="Times New Roman"/>
          <w:color w:val="000000"/>
          <w:sz w:val="32"/>
          <w:szCs w:val="32"/>
          <w:u w:val="single" w:color="000000"/>
        </w:rPr>
      </w:pPr>
    </w:p>
    <w:p>
      <w:pPr>
        <w:spacing w:line="590" w:lineRule="exact"/>
        <w:ind w:firstLine="1280" w:firstLineChars="400"/>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企业类型：</w:t>
      </w:r>
      <w:r>
        <w:rPr>
          <w:rFonts w:hint="default" w:ascii="Times New Roman" w:hAnsi="Times New Roman" w:cs="Times New Roman"/>
          <w:color w:val="000000"/>
          <w:sz w:val="32"/>
          <w:szCs w:val="32"/>
          <w:u w:val="single" w:color="000000"/>
        </w:rPr>
        <w:t>___________________________</w:t>
      </w:r>
      <w:r>
        <w:rPr>
          <w:rFonts w:hint="default" w:ascii="Times New Roman" w:hAnsi="Times New Roman" w:eastAsia="仿宋_GB2312" w:cs="Times New Roman"/>
          <w:color w:val="000000"/>
          <w:sz w:val="32"/>
          <w:szCs w:val="32"/>
          <w:u w:val="single"/>
        </w:rPr>
        <w:t xml:space="preserve"> </w:t>
      </w:r>
    </w:p>
    <w:p>
      <w:pPr>
        <w:spacing w:line="590" w:lineRule="exact"/>
        <w:ind w:firstLine="1280" w:firstLineChars="400"/>
        <w:rPr>
          <w:rFonts w:hint="default" w:ascii="Times New Roman" w:hAnsi="Times New Roman" w:eastAsia="仿宋_GB2312" w:cs="Times New Roman"/>
          <w:color w:val="000000"/>
          <w:sz w:val="32"/>
          <w:szCs w:val="32"/>
          <w:u w:val="single" w:color="000000"/>
        </w:rPr>
      </w:pPr>
    </w:p>
    <w:p>
      <w:pPr>
        <w:spacing w:line="590" w:lineRule="exact"/>
        <w:ind w:firstLine="1280" w:firstLineChars="4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填报日期：      年      月      日</w:t>
      </w:r>
    </w:p>
    <w:p>
      <w:pPr>
        <w:spacing w:line="590" w:lineRule="exact"/>
        <w:jc w:val="center"/>
        <w:rPr>
          <w:rFonts w:hint="default" w:ascii="Times New Roman" w:hAnsi="Times New Roman" w:eastAsia="仿宋_GB2312" w:cs="Times New Roman"/>
          <w:snapToGrid w:val="0"/>
          <w:kern w:val="0"/>
          <w:sz w:val="44"/>
          <w:szCs w:val="44"/>
        </w:rPr>
      </w:pPr>
      <w:r>
        <w:rPr>
          <w:rFonts w:hint="default" w:ascii="Times New Roman" w:hAnsi="Times New Roman" w:eastAsia="仿宋_GB2312" w:cs="Times New Roman"/>
          <w:color w:val="000000"/>
          <w:sz w:val="32"/>
          <w:szCs w:val="32"/>
        </w:rPr>
        <w:br w:type="page"/>
      </w:r>
      <w:r>
        <w:rPr>
          <w:rFonts w:hint="default" w:ascii="Times New Roman" w:hAnsi="Times New Roman" w:eastAsia="方正小标宋简体" w:cs="Times New Roman"/>
          <w:color w:val="000000"/>
          <w:sz w:val="44"/>
          <w:szCs w:val="44"/>
        </w:rPr>
        <w:t>广州市白云区农业龙头企业申报表</w:t>
      </w:r>
    </w:p>
    <w:tbl>
      <w:tblPr>
        <w:tblStyle w:val="8"/>
        <w:tblW w:w="930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327"/>
        <w:gridCol w:w="1328"/>
        <w:gridCol w:w="1259"/>
        <w:gridCol w:w="12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企业名称</w:t>
            </w:r>
          </w:p>
        </w:tc>
        <w:tc>
          <w:tcPr>
            <w:tcW w:w="8070" w:type="dxa"/>
            <w:gridSpan w:val="5"/>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企业地址</w:t>
            </w:r>
          </w:p>
        </w:tc>
        <w:tc>
          <w:tcPr>
            <w:tcW w:w="8070" w:type="dxa"/>
            <w:gridSpan w:val="5"/>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企业性质</w:t>
            </w:r>
          </w:p>
        </w:tc>
        <w:tc>
          <w:tcPr>
            <w:tcW w:w="1327"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328"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创办时间</w:t>
            </w:r>
          </w:p>
        </w:tc>
        <w:tc>
          <w:tcPr>
            <w:tcW w:w="1259"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261"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邮政编码</w:t>
            </w:r>
          </w:p>
        </w:tc>
        <w:tc>
          <w:tcPr>
            <w:tcW w:w="2895"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法人代表</w:t>
            </w:r>
          </w:p>
        </w:tc>
        <w:tc>
          <w:tcPr>
            <w:tcW w:w="1327"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328"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联系电话</w:t>
            </w:r>
          </w:p>
        </w:tc>
        <w:tc>
          <w:tcPr>
            <w:tcW w:w="1259"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261"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E-mail:</w:t>
            </w:r>
          </w:p>
        </w:tc>
        <w:tc>
          <w:tcPr>
            <w:tcW w:w="2895"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4"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 系 人</w:t>
            </w:r>
          </w:p>
        </w:tc>
        <w:tc>
          <w:tcPr>
            <w:tcW w:w="1327"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328"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联系电话</w:t>
            </w:r>
          </w:p>
        </w:tc>
        <w:tc>
          <w:tcPr>
            <w:tcW w:w="1259"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261"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E-mail:</w:t>
            </w:r>
          </w:p>
        </w:tc>
        <w:tc>
          <w:tcPr>
            <w:tcW w:w="2895" w:type="dxa"/>
            <w:noWrap w:val="0"/>
            <w:vAlign w:val="center"/>
          </w:tcPr>
          <w:p>
            <w:pPr>
              <w:spacing w:line="320" w:lineRule="exact"/>
              <w:jc w:val="center"/>
              <w:rPr>
                <w:rFonts w:hint="default" w:ascii="Times New Roman" w:hAnsi="Times New Roman" w:eastAsia="仿宋_GB2312" w:cs="Times New Roman"/>
                <w:color w:val="000000"/>
                <w:sz w:val="24"/>
              </w:rPr>
            </w:pPr>
          </w:p>
        </w:tc>
      </w:tr>
    </w:tbl>
    <w:p>
      <w:pPr>
        <w:rPr>
          <w:rFonts w:hint="default" w:ascii="Times New Roman" w:hAnsi="Times New Roman" w:cs="Times New Roman"/>
        </w:rPr>
      </w:pPr>
    </w:p>
    <w:tbl>
      <w:tblPr>
        <w:tblStyle w:val="8"/>
        <w:tblW w:w="93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954"/>
        <w:gridCol w:w="1110"/>
        <w:gridCol w:w="1515"/>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blHeader/>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序号</w:t>
            </w:r>
          </w:p>
        </w:tc>
        <w:tc>
          <w:tcPr>
            <w:tcW w:w="3954"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          目</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单位</w:t>
            </w:r>
          </w:p>
        </w:tc>
        <w:tc>
          <w:tcPr>
            <w:tcW w:w="1515" w:type="dxa"/>
            <w:noWrap w:val="0"/>
            <w:vAlign w:val="center"/>
          </w:tcPr>
          <w:p>
            <w:pPr>
              <w:spacing w:line="320" w:lineRule="exact"/>
              <w:jc w:val="righ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年</w:t>
            </w:r>
          </w:p>
        </w:tc>
        <w:tc>
          <w:tcPr>
            <w:tcW w:w="1847" w:type="dxa"/>
            <w:noWrap w:val="0"/>
            <w:vAlign w:val="center"/>
          </w:tcPr>
          <w:p>
            <w:pPr>
              <w:spacing w:line="320" w:lineRule="exact"/>
              <w:jc w:val="righ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single"/>
              </w:rPr>
              <w:t xml:space="preserve">      </w:t>
            </w:r>
            <w:r>
              <w:rPr>
                <w:rFonts w:hint="default" w:ascii="Times New Roman" w:hAnsi="Times New Roman" w:eastAsia="仿宋_GB2312" w:cs="Times New Roman"/>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9306" w:type="dxa"/>
            <w:gridSpan w:val="5"/>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一、企业经营情况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1</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1.注册资本金</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万元</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2</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2.总资产</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万元</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3</w:t>
            </w:r>
          </w:p>
        </w:tc>
        <w:tc>
          <w:tcPr>
            <w:tcW w:w="3954" w:type="dxa"/>
            <w:noWrap w:val="0"/>
            <w:vAlign w:val="center"/>
          </w:tcPr>
          <w:p>
            <w:pPr>
              <w:spacing w:line="320" w:lineRule="exact"/>
              <w:ind w:firstLine="235" w:firstLineChars="98"/>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其中：固定资产</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万元</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4</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3.总负债</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万元</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5</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4.资产负债率</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6</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5.企业销售收入（市场交易额）</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万元</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7</w:t>
            </w:r>
          </w:p>
        </w:tc>
        <w:tc>
          <w:tcPr>
            <w:tcW w:w="3954" w:type="dxa"/>
            <w:noWrap w:val="0"/>
            <w:vAlign w:val="center"/>
          </w:tcPr>
          <w:p>
            <w:pPr>
              <w:spacing w:line="320" w:lineRule="exact"/>
              <w:ind w:firstLine="235" w:firstLineChars="98"/>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其中：农产品销售收入</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万元</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8</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6.净利润（税后利润）</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万元</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9</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7.上交税金</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万元</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10</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8.农产品及其加工产品出口创汇</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万美元</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11</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9.实际利用外资额度</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万美元</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12</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10.农产品加工量</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吨</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13</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11.农产品销售率</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9306" w:type="dxa"/>
            <w:gridSpan w:val="5"/>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二、基地情况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14</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1.自有基地种植面积</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亩</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15</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2.带动农户种植面积</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亩</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16</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3.自有基地水产养殖面积</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亩</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17</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4.带动农户水产养殖面积</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亩</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18</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5.自有基地家禽饲养量</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19</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6.带动农户家禽饲养量</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20</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7.自有基地牲畜饲养量</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万头</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21</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8.带动农户牲畜饲养量</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万头</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9306" w:type="dxa"/>
            <w:gridSpan w:val="5"/>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三、带动农户情况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22</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1.带动农户数</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户</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23</w:t>
            </w:r>
          </w:p>
        </w:tc>
        <w:tc>
          <w:tcPr>
            <w:tcW w:w="3954" w:type="dxa"/>
            <w:noWrap w:val="0"/>
            <w:vAlign w:val="center"/>
          </w:tcPr>
          <w:p>
            <w:pPr>
              <w:spacing w:line="320" w:lineRule="exact"/>
              <w:rPr>
                <w:rFonts w:hint="default" w:ascii="Times New Roman" w:hAnsi="Times New Roman" w:eastAsia="仿宋_GB2312" w:cs="Times New Roman"/>
                <w:color w:val="000000"/>
                <w:spacing w:val="-20"/>
                <w:sz w:val="24"/>
              </w:rPr>
            </w:pPr>
            <w:r>
              <w:rPr>
                <w:rFonts w:hint="default" w:ascii="Times New Roman" w:hAnsi="Times New Roman" w:eastAsia="仿宋_GB2312" w:cs="Times New Roman"/>
                <w:color w:val="000000"/>
                <w:spacing w:val="-20"/>
                <w:sz w:val="24"/>
              </w:rPr>
              <w:t>其中</w:t>
            </w:r>
            <w:r>
              <w:rPr>
                <w:rFonts w:hint="default" w:ascii="Times New Roman" w:hAnsi="Times New Roman" w:eastAsia="仿宋_GB2312" w:cs="Times New Roman"/>
                <w:color w:val="000000"/>
                <w:sz w:val="24"/>
              </w:rPr>
              <w:t>:⑴合同关系</w:t>
            </w:r>
            <w:r>
              <w:rPr>
                <w:rFonts w:hint="default" w:ascii="Times New Roman" w:hAnsi="Times New Roman" w:eastAsia="仿宋_GB2312" w:cs="Times New Roman"/>
                <w:color w:val="000000"/>
                <w:spacing w:val="-20"/>
                <w:sz w:val="24"/>
              </w:rPr>
              <w:t>（</w:t>
            </w:r>
            <w:r>
              <w:rPr>
                <w:rFonts w:hint="default" w:ascii="Times New Roman" w:hAnsi="Times New Roman" w:eastAsia="仿宋_GB2312" w:cs="Times New Roman"/>
                <w:color w:val="000000"/>
                <w:sz w:val="24"/>
              </w:rPr>
              <w:t>含“订单”方式）</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户</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24</w:t>
            </w:r>
          </w:p>
        </w:tc>
        <w:tc>
          <w:tcPr>
            <w:tcW w:w="3954" w:type="dxa"/>
            <w:noWrap w:val="0"/>
            <w:vAlign w:val="center"/>
          </w:tcPr>
          <w:p>
            <w:pPr>
              <w:spacing w:line="320" w:lineRule="exact"/>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⑵合作方式按利润返还</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户</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25</w:t>
            </w:r>
          </w:p>
        </w:tc>
        <w:tc>
          <w:tcPr>
            <w:tcW w:w="3954" w:type="dxa"/>
            <w:noWrap w:val="0"/>
            <w:vAlign w:val="center"/>
          </w:tcPr>
          <w:p>
            <w:pPr>
              <w:spacing w:line="320" w:lineRule="exact"/>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⑶股份合作方式按股分红</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户</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26</w:t>
            </w:r>
          </w:p>
        </w:tc>
        <w:tc>
          <w:tcPr>
            <w:tcW w:w="3954" w:type="dxa"/>
            <w:noWrap w:val="0"/>
            <w:vAlign w:val="center"/>
          </w:tcPr>
          <w:p>
            <w:pPr>
              <w:spacing w:line="320" w:lineRule="exact"/>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⑷其它方式</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户</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27</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2.带动农户增收</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万元</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28</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3.平均每户增收</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元</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9306" w:type="dxa"/>
            <w:gridSpan w:val="5"/>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四、企业在岗人数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29</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1.小计</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30</w:t>
            </w:r>
          </w:p>
        </w:tc>
        <w:tc>
          <w:tcPr>
            <w:tcW w:w="3954" w:type="dxa"/>
            <w:noWrap w:val="0"/>
            <w:vAlign w:val="center"/>
          </w:tcPr>
          <w:p>
            <w:pPr>
              <w:spacing w:line="320" w:lineRule="exact"/>
              <w:rPr>
                <w:rFonts w:hint="default" w:ascii="Times New Roman" w:hAnsi="Times New Roman" w:eastAsia="仿宋_GB2312" w:cs="Times New Roman"/>
                <w:color w:val="000000"/>
                <w:spacing w:val="-20"/>
                <w:sz w:val="24"/>
              </w:rPr>
            </w:pPr>
            <w:r>
              <w:rPr>
                <w:rFonts w:hint="default" w:ascii="Times New Roman" w:hAnsi="Times New Roman" w:eastAsia="仿宋_GB2312" w:cs="Times New Roman"/>
                <w:color w:val="000000"/>
                <w:spacing w:val="-20"/>
                <w:sz w:val="24"/>
              </w:rPr>
              <w:t>其中:⑴签订合同职工数</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31</w:t>
            </w:r>
          </w:p>
        </w:tc>
        <w:tc>
          <w:tcPr>
            <w:tcW w:w="3954" w:type="dxa"/>
            <w:noWrap w:val="0"/>
            <w:vAlign w:val="center"/>
          </w:tcPr>
          <w:p>
            <w:pPr>
              <w:spacing w:line="320" w:lineRule="exact"/>
              <w:ind w:firstLine="480"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⑵季节性临时工人</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9306" w:type="dxa"/>
            <w:gridSpan w:val="5"/>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五、企业竞争力指标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32</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1.有专门研发机构</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33</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2.专门研发人员数</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34</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3.当年投入研发经费</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万元</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35</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4.被省、部级认定的高科技企业</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36</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5.建有专门质检机构</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37</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6.建有企业质量管理制度</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项</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38</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7.获得省、部级名牌产品或优质奖数</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39</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8.获得省、部级科技进步奖数</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40</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9.获得商标数</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41</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10.获得专利数</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42</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11.GMP认证</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43</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12.HACCP认证</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44</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13.ISO系列认证</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45</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14.FDA认证</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46</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15.有机产品认证</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47</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16.无公害产品认证</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80" w:type="dxa"/>
            <w:noWrap w:val="0"/>
            <w:vAlign w:val="center"/>
          </w:tcPr>
          <w:p>
            <w:pPr>
              <w:spacing w:line="320" w:lineRule="exact"/>
              <w:jc w:val="center"/>
              <w:rPr>
                <w:rFonts w:hint="default" w:ascii="Times New Roman" w:hAnsi="Times New Roman" w:cs="Times New Roman"/>
              </w:rPr>
            </w:pPr>
            <w:r>
              <w:rPr>
                <w:rFonts w:hint="default" w:ascii="Times New Roman" w:hAnsi="Times New Roman" w:eastAsia="仿宋_GB2312" w:cs="Times New Roman"/>
                <w:color w:val="000000"/>
                <w:sz w:val="24"/>
              </w:rPr>
              <w:t>48</w:t>
            </w:r>
          </w:p>
        </w:tc>
        <w:tc>
          <w:tcPr>
            <w:tcW w:w="3954" w:type="dxa"/>
            <w:noWrap w:val="0"/>
            <w:vAlign w:val="center"/>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17.农产品产地认证</w:t>
            </w:r>
          </w:p>
        </w:tc>
        <w:tc>
          <w:tcPr>
            <w:tcW w:w="1110" w:type="dxa"/>
            <w:noWrap w:val="0"/>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tc>
        <w:tc>
          <w:tcPr>
            <w:tcW w:w="1515" w:type="dxa"/>
            <w:noWrap w:val="0"/>
            <w:vAlign w:val="center"/>
          </w:tcPr>
          <w:p>
            <w:pPr>
              <w:spacing w:line="320" w:lineRule="exact"/>
              <w:jc w:val="center"/>
              <w:rPr>
                <w:rFonts w:hint="default" w:ascii="Times New Roman" w:hAnsi="Times New Roman" w:eastAsia="仿宋_GB2312" w:cs="Times New Roman"/>
                <w:color w:val="000000"/>
                <w:sz w:val="24"/>
              </w:rPr>
            </w:pPr>
          </w:p>
        </w:tc>
        <w:tc>
          <w:tcPr>
            <w:tcW w:w="1847" w:type="dxa"/>
            <w:noWrap w:val="0"/>
            <w:vAlign w:val="center"/>
          </w:tcPr>
          <w:p>
            <w:pPr>
              <w:spacing w:line="320" w:lineRule="exact"/>
              <w:jc w:val="center"/>
              <w:rPr>
                <w:rFonts w:hint="default" w:ascii="Times New Roman" w:hAnsi="Times New Roman" w:eastAsia="仿宋_GB2312" w:cs="Times New Roman"/>
                <w:color w:val="000000"/>
                <w:sz w:val="24"/>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tbl>
      <w:tblPr>
        <w:tblStyle w:val="8"/>
        <w:tblW w:w="9285"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821"/>
        <w:gridCol w:w="4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1" w:hRule="atLeast"/>
        </w:trPr>
        <w:tc>
          <w:tcPr>
            <w:tcW w:w="9285" w:type="dxa"/>
            <w:gridSpan w:val="3"/>
            <w:noWrap w:val="0"/>
            <w:vAlign w:val="top"/>
          </w:tcPr>
          <w:p>
            <w:pPr>
              <w:spacing w:line="59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企业简介（可另加附页）：</w:t>
            </w:r>
          </w:p>
          <w:p>
            <w:pPr>
              <w:spacing w:line="59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trPr>
        <w:tc>
          <w:tcPr>
            <w:tcW w:w="4511" w:type="dxa"/>
            <w:gridSpan w:val="2"/>
            <w:noWrap w:val="0"/>
            <w:vAlign w:val="top"/>
          </w:tcPr>
          <w:p>
            <w:pPr>
              <w:spacing w:line="59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镇（街）审核意见：</w:t>
            </w:r>
          </w:p>
        </w:tc>
        <w:tc>
          <w:tcPr>
            <w:tcW w:w="4774" w:type="dxa"/>
            <w:noWrap w:val="0"/>
            <w:vAlign w:val="top"/>
          </w:tcPr>
          <w:p>
            <w:pPr>
              <w:spacing w:line="59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区农业农村局审核意见：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trPr>
        <w:tc>
          <w:tcPr>
            <w:tcW w:w="690" w:type="dxa"/>
            <w:noWrap w:val="0"/>
            <w:textDirection w:val="tbRlV"/>
            <w:vAlign w:val="center"/>
          </w:tcPr>
          <w:p>
            <w:pPr>
              <w:spacing w:line="590" w:lineRule="exact"/>
              <w:ind w:left="113" w:right="113"/>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32"/>
                <w:szCs w:val="32"/>
              </w:rPr>
              <w:t>填写指标说明</w:t>
            </w:r>
          </w:p>
        </w:tc>
        <w:tc>
          <w:tcPr>
            <w:tcW w:w="8595" w:type="dxa"/>
            <w:gridSpan w:val="2"/>
            <w:noWrap w:val="0"/>
            <w:vAlign w:val="top"/>
          </w:tcPr>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1.销售收入是指当年企业实现的销售收入总额。</w:t>
            </w:r>
          </w:p>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2.交易额是指全年进场交易的各类产品成交额之和。</w:t>
            </w:r>
          </w:p>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3.实际利用外资额度是指外商对企业投资的实际资金数额。</w:t>
            </w:r>
          </w:p>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4.合同关系是指以合同、订单等契约方式向农户收购农产品、提供生产资料等，合同双方具有明确的权利、义务关系，合同具有法律效力。</w:t>
            </w:r>
          </w:p>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5.合作方式按利润返还是指企业将农副产品加工、运输等增值的一部利润按一定的方式（如按交易量）返还给农户,也包括实行二次分配。</w:t>
            </w:r>
          </w:p>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6.股份合作方式按股份分红是指按股金比例进行利润分红。</w:t>
            </w:r>
          </w:p>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7.带动农户增收是指带动的农户比从事其他生产或不参加产业化生产当年多增加的收入。</w:t>
            </w:r>
          </w:p>
          <w:p>
            <w:pPr>
              <w:spacing w:line="3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注：表内平衡关系22=23+24+25+26，28=27/22×10000。</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黑体" w:cs="Times New Roman"/>
          <w:sz w:val="32"/>
          <w:szCs w:val="32"/>
          <w:lang w:val="en-US" w:eastAsia="zh-CN"/>
        </w:rPr>
      </w:pPr>
    </w:p>
    <w:p>
      <w:pPr>
        <w:rPr>
          <w:rFonts w:hint="default" w:ascii="Times New Roman" w:hAnsi="Times New Roman" w:eastAsia="黑体" w:cs="Times New Roman"/>
          <w:sz w:val="32"/>
          <w:szCs w:val="32"/>
          <w:lang w:val="en-US" w:eastAsia="zh-CN"/>
        </w:rPr>
        <w:sectPr>
          <w:footerReference r:id="rId3" w:type="default"/>
          <w:type w:val="continuous"/>
          <w:pgSz w:w="11906" w:h="16838"/>
          <w:pgMar w:top="1417" w:right="1474" w:bottom="1417" w:left="1587" w:header="851" w:footer="992" w:gutter="0"/>
          <w:pgNumType w:fmt="numberInDash"/>
          <w:cols w:space="0" w:num="1"/>
          <w:rtlGutter w:val="0"/>
          <w:docGrid w:type="linesAndChars" w:linePitch="312" w:charSpace="0"/>
        </w:sect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广州市白云区农业龙头企业认定分类标准</w:t>
      </w:r>
    </w:p>
    <w:tbl>
      <w:tblPr>
        <w:tblStyle w:val="8"/>
        <w:tblW w:w="14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0"/>
        <w:gridCol w:w="9498"/>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exact"/>
        </w:trPr>
        <w:tc>
          <w:tcPr>
            <w:tcW w:w="3510" w:type="dxa"/>
            <w:noWrap w:val="0"/>
            <w:vAlign w:val="center"/>
          </w:tcPr>
          <w:p>
            <w:pPr>
              <w:adjustRightInd w:val="0"/>
              <w:snapToGrid w:val="0"/>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企业类型</w:t>
            </w:r>
          </w:p>
        </w:tc>
        <w:tc>
          <w:tcPr>
            <w:tcW w:w="9498" w:type="dxa"/>
            <w:tcBorders>
              <w:bottom w:val="single" w:color="auto" w:sz="4" w:space="0"/>
            </w:tcBorders>
            <w:noWrap w:val="0"/>
            <w:vAlign w:val="center"/>
          </w:tcPr>
          <w:p>
            <w:pPr>
              <w:adjustRightInd w:val="0"/>
              <w:snapToGrid w:val="0"/>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定  义</w:t>
            </w:r>
          </w:p>
        </w:tc>
        <w:tc>
          <w:tcPr>
            <w:tcW w:w="1275" w:type="dxa"/>
            <w:tcBorders>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1" w:hRule="exact"/>
        </w:trPr>
        <w:tc>
          <w:tcPr>
            <w:tcW w:w="3510" w:type="dxa"/>
            <w:noWrap w:val="0"/>
            <w:vAlign w:val="center"/>
          </w:tcPr>
          <w:p>
            <w:pP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一、农产品生产型</w:t>
            </w:r>
          </w:p>
        </w:tc>
        <w:tc>
          <w:tcPr>
            <w:tcW w:w="9498" w:type="dxa"/>
            <w:noWrap w:val="0"/>
            <w:vAlign w:val="center"/>
          </w:tcPr>
          <w:p>
            <w:pPr>
              <w:adjustRightInd w:val="0"/>
              <w:snapToGrid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以从事种植、养殖和渔业捕捞为主业的企业。</w:t>
            </w:r>
          </w:p>
        </w:tc>
        <w:tc>
          <w:tcPr>
            <w:tcW w:w="1275" w:type="dxa"/>
            <w:tcBorders>
              <w:bottom w:val="single" w:color="auto" w:sz="4" w:space="0"/>
              <w:right w:val="single" w:color="auto" w:sz="4" w:space="0"/>
            </w:tcBorders>
            <w:noWrap w:val="0"/>
            <w:vAlign w:val="center"/>
          </w:tcPr>
          <w:p>
            <w:pPr>
              <w:rPr>
                <w:rFonts w:hint="default" w:ascii="Times New Roman" w:hAnsi="Times New Roman" w:eastAsia="华文仿宋"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4" w:hRule="exact"/>
        </w:trPr>
        <w:tc>
          <w:tcPr>
            <w:tcW w:w="3510" w:type="dxa"/>
            <w:noWrap w:val="0"/>
            <w:vAlign w:val="center"/>
          </w:tcPr>
          <w:p>
            <w:pP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二、农产品加工流通型</w:t>
            </w:r>
          </w:p>
        </w:tc>
        <w:tc>
          <w:tcPr>
            <w:tcW w:w="9498" w:type="dxa"/>
            <w:noWrap w:val="0"/>
            <w:vAlign w:val="center"/>
          </w:tcPr>
          <w:p>
            <w:pPr>
              <w:adjustRightInd w:val="0"/>
              <w:snapToGrid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以农产品加工、储藏、流通为主业的企业。</w:t>
            </w:r>
          </w:p>
        </w:tc>
        <w:tc>
          <w:tcPr>
            <w:tcW w:w="1275" w:type="dxa"/>
            <w:tcBorders>
              <w:bottom w:val="single" w:color="auto" w:sz="4" w:space="0"/>
              <w:right w:val="single" w:color="auto" w:sz="4" w:space="0"/>
            </w:tcBorders>
            <w:noWrap w:val="0"/>
            <w:vAlign w:val="center"/>
          </w:tcPr>
          <w:p>
            <w:pPr>
              <w:rPr>
                <w:rFonts w:hint="default" w:ascii="Times New Roman" w:hAnsi="Times New Roman" w:eastAsia="华文仿宋"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exact"/>
        </w:trPr>
        <w:tc>
          <w:tcPr>
            <w:tcW w:w="3510" w:type="dxa"/>
            <w:noWrap w:val="0"/>
            <w:vAlign w:val="center"/>
          </w:tcPr>
          <w:p>
            <w:pPr>
              <w:jc w:val="left"/>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三、农产品市场带动型</w:t>
            </w:r>
          </w:p>
        </w:tc>
        <w:tc>
          <w:tcPr>
            <w:tcW w:w="9498" w:type="dxa"/>
            <w:noWrap w:val="0"/>
            <w:vAlign w:val="center"/>
          </w:tcPr>
          <w:p>
            <w:pPr>
              <w:adjustRightInd w:val="0"/>
              <w:snapToGrid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以农产品批发市场为主业的企业。</w:t>
            </w:r>
          </w:p>
        </w:tc>
        <w:tc>
          <w:tcPr>
            <w:tcW w:w="1275" w:type="dxa"/>
            <w:tcBorders>
              <w:bottom w:val="single" w:color="auto" w:sz="4" w:space="0"/>
              <w:right w:val="single" w:color="auto" w:sz="4" w:space="0"/>
            </w:tcBorders>
            <w:noWrap w:val="0"/>
            <w:vAlign w:val="center"/>
          </w:tcPr>
          <w:p>
            <w:pPr>
              <w:rPr>
                <w:rFonts w:hint="default" w:ascii="Times New Roman" w:hAnsi="Times New Roman" w:eastAsia="华文仿宋"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0" w:hRule="exact"/>
        </w:trPr>
        <w:tc>
          <w:tcPr>
            <w:tcW w:w="3510" w:type="dxa"/>
            <w:noWrap w:val="0"/>
            <w:vAlign w:val="center"/>
          </w:tcPr>
          <w:p>
            <w:pP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四、农业科技服务型</w:t>
            </w:r>
          </w:p>
        </w:tc>
        <w:tc>
          <w:tcPr>
            <w:tcW w:w="9498" w:type="dxa"/>
            <w:tcBorders>
              <w:top w:val="single" w:color="auto" w:sz="4" w:space="0"/>
              <w:bottom w:val="single" w:color="auto" w:sz="4" w:space="0"/>
            </w:tcBorders>
            <w:noWrap w:val="0"/>
            <w:vAlign w:val="center"/>
          </w:tcPr>
          <w:p>
            <w:pPr>
              <w:adjustRightInd w:val="0"/>
              <w:snapToGrid w:val="0"/>
              <w:spacing w:line="4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以对农业生物工程、工厂化设施农业、农产品精深加工与增值转化、农业信息化、农业资源保护与综合利用、农业机械化、种子种苗的育、繁、推，种质资源保护等领域的技术服务为主业的企业。</w:t>
            </w:r>
          </w:p>
        </w:tc>
        <w:tc>
          <w:tcPr>
            <w:tcW w:w="1275" w:type="dxa"/>
            <w:tcBorders>
              <w:top w:val="single" w:color="auto" w:sz="4" w:space="0"/>
              <w:bottom w:val="single" w:color="auto" w:sz="4" w:space="0"/>
              <w:right w:val="single" w:color="auto" w:sz="4" w:space="0"/>
            </w:tcBorders>
            <w:noWrap w:val="0"/>
            <w:vAlign w:val="center"/>
          </w:tcPr>
          <w:p>
            <w:pPr>
              <w:rPr>
                <w:rFonts w:hint="default" w:ascii="Times New Roman" w:hAnsi="Times New Roman" w:eastAsia="华文仿宋"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6" w:hRule="exact"/>
        </w:trPr>
        <w:tc>
          <w:tcPr>
            <w:tcW w:w="3510" w:type="dxa"/>
            <w:noWrap w:val="0"/>
            <w:vAlign w:val="center"/>
          </w:tcPr>
          <w:p>
            <w:pP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五、其他涉农产业型</w:t>
            </w:r>
          </w:p>
        </w:tc>
        <w:tc>
          <w:tcPr>
            <w:tcW w:w="9498" w:type="dxa"/>
            <w:tcBorders>
              <w:top w:val="single" w:color="auto" w:sz="4" w:space="0"/>
            </w:tcBorders>
            <w:noWrap w:val="0"/>
            <w:vAlign w:val="center"/>
          </w:tcPr>
          <w:p>
            <w:pPr>
              <w:adjustRightInd w:val="0"/>
              <w:snapToGrid w:val="0"/>
              <w:spacing w:line="4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从事先进农机、农药（兽药）、饲料和肥料等生产；观赏鱼等特种水产养殖；屠宰服务、观光休闲农业、互联网+农业等农业新业态的企业。</w:t>
            </w:r>
          </w:p>
        </w:tc>
        <w:tc>
          <w:tcPr>
            <w:tcW w:w="1275" w:type="dxa"/>
            <w:tcBorders>
              <w:top w:val="single" w:color="auto" w:sz="4" w:space="0"/>
              <w:right w:val="single" w:color="auto" w:sz="4" w:space="0"/>
            </w:tcBorders>
            <w:noWrap w:val="0"/>
            <w:vAlign w:val="center"/>
          </w:tcPr>
          <w:p>
            <w:pPr>
              <w:adjustRightInd w:val="0"/>
              <w:snapToGrid w:val="0"/>
              <w:spacing w:line="480" w:lineRule="exact"/>
              <w:rPr>
                <w:rFonts w:hint="default" w:ascii="Times New Roman" w:hAnsi="Times New Roman" w:eastAsia="仿宋_GB2312" w:cs="Times New Roman"/>
                <w:sz w:val="32"/>
                <w:szCs w:val="32"/>
              </w:rPr>
            </w:pPr>
          </w:p>
        </w:tc>
      </w:tr>
    </w:tbl>
    <w:p>
      <w:pPr>
        <w:rPr>
          <w:rFonts w:hint="default" w:ascii="Times New Roman" w:hAnsi="Times New Roman" w:eastAsia="黑体" w:cs="Times New Roman"/>
          <w:sz w:val="32"/>
          <w:szCs w:val="32"/>
        </w:rPr>
      </w:pPr>
    </w:p>
    <w:p>
      <w:pPr>
        <w:adjustRightInd w:val="0"/>
        <w:snapToGrid w:val="0"/>
        <w:jc w:val="left"/>
        <w:rPr>
          <w:rFonts w:hint="default" w:ascii="Times New Roman" w:hAnsi="Times New Roman" w:eastAsia="黑体" w:cs="Times New Roman"/>
          <w:spacing w:val="-6"/>
          <w:sz w:val="32"/>
          <w:szCs w:val="32"/>
          <w:lang w:eastAsia="zh-CN"/>
        </w:rPr>
      </w:pPr>
      <w:r>
        <w:rPr>
          <w:rFonts w:hint="default" w:ascii="Times New Roman" w:hAnsi="Times New Roman" w:eastAsia="黑体" w:cs="Times New Roman"/>
          <w:spacing w:val="-6"/>
          <w:sz w:val="32"/>
          <w:szCs w:val="32"/>
        </w:rPr>
        <w:t>附件</w:t>
      </w:r>
      <w:r>
        <w:rPr>
          <w:rFonts w:hint="default" w:ascii="Times New Roman" w:hAnsi="Times New Roman" w:eastAsia="黑体" w:cs="Times New Roman"/>
          <w:spacing w:val="-6"/>
          <w:sz w:val="32"/>
          <w:szCs w:val="32"/>
          <w:lang w:val="en-US" w:eastAsia="zh-CN"/>
        </w:rPr>
        <w:t>3</w:t>
      </w:r>
    </w:p>
    <w:p>
      <w:pPr>
        <w:adjustRightInd w:val="0"/>
        <w:snapToGrid w:val="0"/>
        <w:spacing w:after="156" w:afterLines="50"/>
        <w:jc w:val="center"/>
        <w:rPr>
          <w:rFonts w:hint="default" w:ascii="Times New Roman" w:hAnsi="Times New Roman" w:eastAsia="方正小标宋简体" w:cs="Times New Roman"/>
          <w:szCs w:val="21"/>
        </w:rPr>
      </w:pPr>
      <w:r>
        <w:rPr>
          <w:rFonts w:hint="default" w:ascii="Times New Roman" w:hAnsi="Times New Roman" w:eastAsia="方正小标宋简体" w:cs="Times New Roman"/>
          <w:sz w:val="32"/>
          <w:szCs w:val="32"/>
        </w:rPr>
        <w:t>广州市</w:t>
      </w:r>
      <w:r>
        <w:rPr>
          <w:rFonts w:hint="default" w:ascii="Times New Roman" w:hAnsi="Times New Roman" w:eastAsia="方正小标宋简体" w:cs="Times New Roman"/>
          <w:sz w:val="32"/>
          <w:szCs w:val="32"/>
          <w:lang w:val="en-US" w:eastAsia="zh-CN"/>
        </w:rPr>
        <w:t>白云区</w:t>
      </w:r>
      <w:r>
        <w:rPr>
          <w:rFonts w:hint="default" w:ascii="Times New Roman" w:hAnsi="Times New Roman" w:eastAsia="方正小标宋简体" w:cs="Times New Roman"/>
          <w:sz w:val="32"/>
          <w:szCs w:val="32"/>
        </w:rPr>
        <w:t>农业龙头企业认定和监测评分标准</w:t>
      </w:r>
    </w:p>
    <w:tbl>
      <w:tblPr>
        <w:tblStyle w:val="8"/>
        <w:tblW w:w="153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1462"/>
        <w:gridCol w:w="420"/>
        <w:gridCol w:w="1825"/>
        <w:gridCol w:w="749"/>
        <w:gridCol w:w="1506"/>
        <w:gridCol w:w="1028"/>
        <w:gridCol w:w="1226"/>
        <w:gridCol w:w="1309"/>
        <w:gridCol w:w="675"/>
        <w:gridCol w:w="1859"/>
        <w:gridCol w:w="2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2816" w:type="dxa"/>
            <w:gridSpan w:val="3"/>
            <w:noWrap w:val="0"/>
            <w:vAlign w:val="center"/>
          </w:tcPr>
          <w:p>
            <w:pPr>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企业类型</w:t>
            </w:r>
          </w:p>
        </w:tc>
        <w:tc>
          <w:tcPr>
            <w:tcW w:w="1825" w:type="dxa"/>
            <w:tcBorders>
              <w:right w:val="single" w:color="auto" w:sz="4" w:space="0"/>
            </w:tcBorders>
            <w:noWrap w:val="0"/>
            <w:vAlign w:val="center"/>
          </w:tcPr>
          <w:p>
            <w:pPr>
              <w:adjustRightInd w:val="0"/>
              <w:snapToGrid w:val="0"/>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一.农产品生产型</w:t>
            </w:r>
          </w:p>
        </w:tc>
        <w:tc>
          <w:tcPr>
            <w:tcW w:w="2255" w:type="dxa"/>
            <w:gridSpan w:val="2"/>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二.农产品加工流通型</w:t>
            </w:r>
          </w:p>
        </w:tc>
        <w:tc>
          <w:tcPr>
            <w:tcW w:w="2254" w:type="dxa"/>
            <w:gridSpan w:val="2"/>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三.农产品市场带动型</w:t>
            </w:r>
          </w:p>
        </w:tc>
        <w:tc>
          <w:tcPr>
            <w:tcW w:w="1984" w:type="dxa"/>
            <w:gridSpan w:val="2"/>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四.农业科技服务型</w:t>
            </w:r>
          </w:p>
        </w:tc>
        <w:tc>
          <w:tcPr>
            <w:tcW w:w="4256" w:type="dxa"/>
            <w:gridSpan w:val="2"/>
            <w:tcBorders>
              <w:left w:val="single" w:color="auto" w:sz="4" w:space="0"/>
              <w:right w:val="single" w:color="auto" w:sz="4" w:space="0"/>
            </w:tcBorders>
            <w:noWrap w:val="0"/>
            <w:vAlign w:val="center"/>
          </w:tcPr>
          <w:p>
            <w:pPr>
              <w:spacing w:line="0" w:lineRule="atLeast"/>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五.其他涉农产业型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exact"/>
          <w:jc w:val="center"/>
        </w:trPr>
        <w:tc>
          <w:tcPr>
            <w:tcW w:w="2816" w:type="dxa"/>
            <w:gridSpan w:val="3"/>
            <w:noWrap w:val="0"/>
            <w:vAlign w:val="center"/>
          </w:tcPr>
          <w:p>
            <w:pP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一、</w:t>
            </w:r>
            <w:r>
              <w:rPr>
                <w:rFonts w:hint="default" w:ascii="Times New Roman" w:hAnsi="Times New Roman" w:cs="Times New Roman"/>
                <w:sz w:val="20"/>
                <w:szCs w:val="20"/>
              </w:rPr>
              <w:t>涉农业务收入占总收入的比重</w:t>
            </w:r>
          </w:p>
        </w:tc>
        <w:tc>
          <w:tcPr>
            <w:tcW w:w="12574" w:type="dxa"/>
            <w:gridSpan w:val="9"/>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达到51%的计20分，达不到的不计分。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6" w:hRule="exact"/>
          <w:jc w:val="center"/>
        </w:trPr>
        <w:tc>
          <w:tcPr>
            <w:tcW w:w="934" w:type="dxa"/>
            <w:vMerge w:val="restart"/>
            <w:noWrap w:val="0"/>
            <w:vAlign w:val="center"/>
          </w:tcPr>
          <w:p>
            <w:pP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二、企</w:t>
            </w:r>
          </w:p>
          <w:p>
            <w:pP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业规模</w:t>
            </w:r>
          </w:p>
          <w:p>
            <w:pPr>
              <w:adjustRightInd w:val="0"/>
              <w:snapToGrid w:val="0"/>
              <w:ind w:left="-105" w:leftChars="-50" w:right="-105" w:rightChars="-50"/>
              <w:rPr>
                <w:rFonts w:hint="default" w:ascii="Times New Roman" w:hAnsi="Times New Roman" w:cs="Times New Roman"/>
                <w:sz w:val="20"/>
                <w:szCs w:val="20"/>
              </w:rPr>
            </w:pPr>
          </w:p>
        </w:tc>
        <w:tc>
          <w:tcPr>
            <w:tcW w:w="1882" w:type="dxa"/>
            <w:gridSpan w:val="2"/>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1.总资产</w:t>
            </w:r>
          </w:p>
        </w:tc>
        <w:tc>
          <w:tcPr>
            <w:tcW w:w="1825" w:type="dxa"/>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达到500万元计4分，每少50万元扣1分，每超250万元加1分，加分最多不超过4分。</w:t>
            </w:r>
          </w:p>
        </w:tc>
        <w:tc>
          <w:tcPr>
            <w:tcW w:w="2255" w:type="dxa"/>
            <w:gridSpan w:val="2"/>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达到1000万元计4分，每少100万元扣1分，每超500万元加1分，加分最多不超过4分。</w:t>
            </w:r>
          </w:p>
        </w:tc>
        <w:tc>
          <w:tcPr>
            <w:tcW w:w="2254" w:type="dxa"/>
            <w:gridSpan w:val="2"/>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达到2500万元计4分，每少150万元扣1分，每超500万元加1分，加分最多不超过4分</w:t>
            </w:r>
          </w:p>
        </w:tc>
        <w:tc>
          <w:tcPr>
            <w:tcW w:w="1984" w:type="dxa"/>
            <w:gridSpan w:val="2"/>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达到100万元计4分，每少10万元扣1分，每超50万元加1分，加分最多不超过4分</w:t>
            </w:r>
          </w:p>
        </w:tc>
        <w:tc>
          <w:tcPr>
            <w:tcW w:w="4256" w:type="dxa"/>
            <w:gridSpan w:val="2"/>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达到500万元（其中：农机、农药（兽药）、饲料和肥料等生产、屠宰服务达到1000万元）计4分，每少50万元扣1分，每超250万元加1分，加分最多不超过4分。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2" w:hRule="exact"/>
          <w:jc w:val="center"/>
        </w:trPr>
        <w:tc>
          <w:tcPr>
            <w:tcW w:w="934" w:type="dxa"/>
            <w:vMerge w:val="continue"/>
            <w:noWrap w:val="0"/>
            <w:vAlign w:val="center"/>
          </w:tcPr>
          <w:p>
            <w:pPr>
              <w:rPr>
                <w:rFonts w:hint="default" w:ascii="Times New Roman" w:hAnsi="Times New Roman" w:cs="Times New Roman"/>
                <w:color w:val="000000"/>
                <w:kern w:val="0"/>
                <w:sz w:val="20"/>
                <w:szCs w:val="20"/>
              </w:rPr>
            </w:pPr>
          </w:p>
        </w:tc>
        <w:tc>
          <w:tcPr>
            <w:tcW w:w="1882" w:type="dxa"/>
            <w:gridSpan w:val="2"/>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2.固定资产</w:t>
            </w:r>
          </w:p>
        </w:tc>
        <w:tc>
          <w:tcPr>
            <w:tcW w:w="1825" w:type="dxa"/>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达到100万元计3分，每少10万元扣1分，每超25万元加1分，加分最多不超过3分。</w:t>
            </w:r>
          </w:p>
        </w:tc>
        <w:tc>
          <w:tcPr>
            <w:tcW w:w="2255" w:type="dxa"/>
            <w:gridSpan w:val="2"/>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达到250万元计3分，每少25万元扣1分，每超50万元加1分，加分最多不超过3分。</w:t>
            </w:r>
          </w:p>
        </w:tc>
        <w:tc>
          <w:tcPr>
            <w:tcW w:w="2254" w:type="dxa"/>
            <w:gridSpan w:val="2"/>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达到1500万元计3分，每少150万元扣1分，每超250万元加1分，加分最多不超过3分</w:t>
            </w:r>
          </w:p>
        </w:tc>
        <w:tc>
          <w:tcPr>
            <w:tcW w:w="1984" w:type="dxa"/>
            <w:gridSpan w:val="2"/>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达到50万元计3分，每少5万元扣1分，每超15万元加1分，加分最多不超过3分。</w:t>
            </w:r>
          </w:p>
        </w:tc>
        <w:tc>
          <w:tcPr>
            <w:tcW w:w="4256" w:type="dxa"/>
            <w:gridSpan w:val="2"/>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达到100万元（其中：农机、农药（兽药）、饲料和肥料等生产、屠宰服务达到250万元）计3分，每少5万元扣1分，每超25万元加1分，加分最多不超过3分。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7" w:hRule="exact"/>
          <w:jc w:val="center"/>
        </w:trPr>
        <w:tc>
          <w:tcPr>
            <w:tcW w:w="934" w:type="dxa"/>
            <w:vMerge w:val="continue"/>
            <w:noWrap w:val="0"/>
            <w:vAlign w:val="center"/>
          </w:tcPr>
          <w:p>
            <w:pPr>
              <w:rPr>
                <w:rFonts w:hint="default" w:ascii="Times New Roman" w:hAnsi="Times New Roman" w:cs="Times New Roman"/>
                <w:sz w:val="20"/>
                <w:szCs w:val="20"/>
              </w:rPr>
            </w:pPr>
          </w:p>
        </w:tc>
        <w:tc>
          <w:tcPr>
            <w:tcW w:w="1882" w:type="dxa"/>
            <w:gridSpan w:val="2"/>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3.年销售（营业）收入或交易额</w:t>
            </w:r>
          </w:p>
        </w:tc>
        <w:tc>
          <w:tcPr>
            <w:tcW w:w="1825" w:type="dxa"/>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达到750万元计23分。每少15万元扣1分，每超500万元加1分，加分最多不超过3分。</w:t>
            </w:r>
          </w:p>
        </w:tc>
        <w:tc>
          <w:tcPr>
            <w:tcW w:w="2255" w:type="dxa"/>
            <w:gridSpan w:val="2"/>
            <w:tcBorders>
              <w:left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达到1250万元计23分。每少30万元扣1分，每超500万元加1分，加分最多不超过3分。</w:t>
            </w:r>
          </w:p>
        </w:tc>
        <w:tc>
          <w:tcPr>
            <w:tcW w:w="2254" w:type="dxa"/>
            <w:gridSpan w:val="2"/>
            <w:tcBorders>
              <w:left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达到1.75亿元计23分。每少500万元扣1分，每超2500万元加1分，加分最多不超过3分。</w:t>
            </w:r>
          </w:p>
        </w:tc>
        <w:tc>
          <w:tcPr>
            <w:tcW w:w="1984" w:type="dxa"/>
            <w:gridSpan w:val="2"/>
            <w:tcBorders>
              <w:left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达到500万元以上计23分。每少15万元扣1分，每超50万元加1分，加分最多不超过3分。</w:t>
            </w:r>
          </w:p>
        </w:tc>
        <w:tc>
          <w:tcPr>
            <w:tcW w:w="4256" w:type="dxa"/>
            <w:gridSpan w:val="2"/>
            <w:tcBorders>
              <w:left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达到200万元（其中：农机、农药（兽药）、饲料和肥料等生产、屠宰服务达到2500万元)计23分。每少5万元（其中：农机、农药（兽药）、饲料和肥料等生产、屠宰服务每少50万元）扣1分，每超50万元（其中：农机、农药（兽药）、饲料和肥料等生产、屠宰服务每超250万元）加1分，加分最多不超过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exact"/>
          <w:jc w:val="center"/>
        </w:trPr>
        <w:tc>
          <w:tcPr>
            <w:tcW w:w="2396" w:type="dxa"/>
            <w:gridSpan w:val="2"/>
            <w:noWrap w:val="0"/>
            <w:vAlign w:val="center"/>
          </w:tcPr>
          <w:p>
            <w:pPr>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企业类型</w:t>
            </w:r>
          </w:p>
        </w:tc>
        <w:tc>
          <w:tcPr>
            <w:tcW w:w="2994" w:type="dxa"/>
            <w:gridSpan w:val="3"/>
            <w:tcBorders>
              <w:right w:val="single" w:color="auto" w:sz="4" w:space="0"/>
            </w:tcBorders>
            <w:noWrap w:val="0"/>
            <w:vAlign w:val="center"/>
          </w:tcPr>
          <w:p>
            <w:pPr>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一.农产品生产型</w:t>
            </w:r>
          </w:p>
        </w:tc>
        <w:tc>
          <w:tcPr>
            <w:tcW w:w="2534" w:type="dxa"/>
            <w:gridSpan w:val="2"/>
            <w:tcBorders>
              <w:right w:val="single" w:color="auto" w:sz="4" w:space="0"/>
            </w:tcBorders>
            <w:noWrap w:val="0"/>
            <w:vAlign w:val="center"/>
          </w:tcPr>
          <w:p>
            <w:pPr>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二.农产品加工流通型</w:t>
            </w:r>
          </w:p>
        </w:tc>
        <w:tc>
          <w:tcPr>
            <w:tcW w:w="2535" w:type="dxa"/>
            <w:gridSpan w:val="2"/>
            <w:tcBorders>
              <w:right w:val="single" w:color="auto" w:sz="4" w:space="0"/>
            </w:tcBorders>
            <w:noWrap w:val="0"/>
            <w:vAlign w:val="center"/>
          </w:tcPr>
          <w:p>
            <w:pPr>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三.农产品市场带动型</w:t>
            </w:r>
          </w:p>
        </w:tc>
        <w:tc>
          <w:tcPr>
            <w:tcW w:w="2534" w:type="dxa"/>
            <w:gridSpan w:val="2"/>
            <w:tcBorders>
              <w:right w:val="single" w:color="auto" w:sz="4" w:space="0"/>
            </w:tcBorders>
            <w:noWrap w:val="0"/>
            <w:vAlign w:val="center"/>
          </w:tcPr>
          <w:p>
            <w:pPr>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四.农业科技服务型</w:t>
            </w:r>
          </w:p>
        </w:tc>
        <w:tc>
          <w:tcPr>
            <w:tcW w:w="2397" w:type="dxa"/>
            <w:tcBorders>
              <w:right w:val="single" w:color="auto" w:sz="4" w:space="0"/>
            </w:tcBorders>
            <w:noWrap w:val="0"/>
            <w:vAlign w:val="center"/>
          </w:tcPr>
          <w:p>
            <w:pPr>
              <w:jc w:val="cente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五.其他涉农产业型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exact"/>
          <w:jc w:val="center"/>
        </w:trPr>
        <w:tc>
          <w:tcPr>
            <w:tcW w:w="934" w:type="dxa"/>
            <w:vMerge w:val="restart"/>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三、企</w:t>
            </w:r>
          </w:p>
          <w:p>
            <w:pPr>
              <w:rPr>
                <w:rFonts w:hint="default" w:ascii="Times New Roman" w:hAnsi="Times New Roman" w:cs="Times New Roman"/>
                <w:sz w:val="20"/>
                <w:szCs w:val="20"/>
              </w:rPr>
            </w:pPr>
            <w:r>
              <w:rPr>
                <w:rFonts w:hint="default" w:ascii="Times New Roman" w:hAnsi="Times New Roman" w:cs="Times New Roman"/>
                <w:sz w:val="20"/>
                <w:szCs w:val="20"/>
              </w:rPr>
              <w:t>业信用</w:t>
            </w:r>
          </w:p>
          <w:p>
            <w:pPr>
              <w:rPr>
                <w:rFonts w:hint="default" w:ascii="Times New Roman" w:hAnsi="Times New Roman" w:cs="Times New Roman"/>
                <w:sz w:val="20"/>
                <w:szCs w:val="20"/>
              </w:rPr>
            </w:pPr>
          </w:p>
        </w:tc>
        <w:tc>
          <w:tcPr>
            <w:tcW w:w="1462" w:type="dxa"/>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 xml:space="preserve">1.纳税情况 </w:t>
            </w:r>
          </w:p>
        </w:tc>
        <w:tc>
          <w:tcPr>
            <w:tcW w:w="12994" w:type="dxa"/>
            <w:gridSpan w:val="10"/>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企业审核年度</w:t>
            </w:r>
            <w:r>
              <w:rPr>
                <w:rFonts w:hint="default" w:ascii="Times New Roman" w:hAnsi="Times New Roman" w:cs="Times New Roman"/>
                <w:sz w:val="20"/>
                <w:szCs w:val="20"/>
                <w:vertAlign w:val="superscript"/>
              </w:rPr>
              <w:t>①</w:t>
            </w:r>
            <w:r>
              <w:rPr>
                <w:rFonts w:hint="default" w:ascii="Times New Roman" w:hAnsi="Times New Roman" w:cs="Times New Roman"/>
                <w:sz w:val="20"/>
                <w:szCs w:val="20"/>
              </w:rPr>
              <w:t>依法纳税的计5分，企业存在因税务稽查产生的税务处罚情况或存在欠税的计0分。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exact"/>
          <w:jc w:val="center"/>
        </w:trPr>
        <w:tc>
          <w:tcPr>
            <w:tcW w:w="934" w:type="dxa"/>
            <w:vMerge w:val="continue"/>
            <w:noWrap w:val="0"/>
            <w:vAlign w:val="center"/>
          </w:tcPr>
          <w:p>
            <w:pPr>
              <w:rPr>
                <w:rFonts w:hint="default" w:ascii="Times New Roman" w:hAnsi="Times New Roman" w:cs="Times New Roman"/>
                <w:sz w:val="20"/>
                <w:szCs w:val="20"/>
              </w:rPr>
            </w:pPr>
          </w:p>
        </w:tc>
        <w:tc>
          <w:tcPr>
            <w:tcW w:w="1462" w:type="dxa"/>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2.劳动用工管理情况</w:t>
            </w:r>
          </w:p>
        </w:tc>
        <w:tc>
          <w:tcPr>
            <w:tcW w:w="12994" w:type="dxa"/>
            <w:gridSpan w:val="10"/>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企业审核年度没有违反劳动保障法律、法规和规章受到行政处罚的计5分，有受到相关行政处罚的倒扣5分。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exact"/>
          <w:jc w:val="center"/>
        </w:trPr>
        <w:tc>
          <w:tcPr>
            <w:tcW w:w="934" w:type="dxa"/>
            <w:vMerge w:val="continue"/>
            <w:noWrap w:val="0"/>
            <w:vAlign w:val="center"/>
          </w:tcPr>
          <w:p>
            <w:pPr>
              <w:rPr>
                <w:rFonts w:hint="default" w:ascii="Times New Roman" w:hAnsi="Times New Roman" w:cs="Times New Roman"/>
                <w:sz w:val="20"/>
                <w:szCs w:val="20"/>
              </w:rPr>
            </w:pPr>
          </w:p>
        </w:tc>
        <w:tc>
          <w:tcPr>
            <w:tcW w:w="1462" w:type="dxa"/>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3.银行信用</w:t>
            </w:r>
          </w:p>
        </w:tc>
        <w:tc>
          <w:tcPr>
            <w:tcW w:w="12994" w:type="dxa"/>
            <w:gridSpan w:val="10"/>
            <w:tcBorders>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企业在日常经济往来中守法、诚信、运行正常的计5分，在金融机构中有不良信用记录的倒扣2分。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exact"/>
          <w:jc w:val="center"/>
        </w:trPr>
        <w:tc>
          <w:tcPr>
            <w:tcW w:w="2396" w:type="dxa"/>
            <w:gridSpan w:val="2"/>
            <w:tcBorders>
              <w:bottom w:val="single" w:color="000000" w:sz="4" w:space="0"/>
            </w:tcBorders>
            <w:noWrap w:val="0"/>
            <w:vAlign w:val="center"/>
          </w:tcPr>
          <w:p>
            <w:pPr>
              <w:jc w:val="left"/>
              <w:rPr>
                <w:rFonts w:hint="default" w:ascii="Times New Roman" w:hAnsi="Times New Roman" w:cs="Times New Roman"/>
                <w:b/>
                <w:sz w:val="20"/>
                <w:szCs w:val="20"/>
              </w:rPr>
            </w:pPr>
            <w:r>
              <w:rPr>
                <w:rFonts w:hint="default" w:ascii="Times New Roman" w:hAnsi="Times New Roman" w:cs="Times New Roman"/>
                <w:sz w:val="20"/>
                <w:szCs w:val="20"/>
              </w:rPr>
              <w:t>四、带动力</w:t>
            </w:r>
          </w:p>
        </w:tc>
        <w:tc>
          <w:tcPr>
            <w:tcW w:w="12994" w:type="dxa"/>
            <w:gridSpan w:val="10"/>
            <w:tcBorders>
              <w:bottom w:val="single" w:color="000000" w:sz="4" w:space="0"/>
              <w:right w:val="single" w:color="auto" w:sz="4" w:space="0"/>
            </w:tcBorders>
            <w:noWrap w:val="0"/>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紧密型带动农户40户（含同等规模的农民合作社和家庭农场）或松散型带动农户200户的计10分，达不到的计0分</w:t>
            </w:r>
            <w:r>
              <w:rPr>
                <w:rFonts w:hint="default" w:ascii="Times New Roman" w:hAnsi="Times New Roman" w:cs="Times New Roman"/>
                <w:sz w:val="20"/>
                <w:szCs w:val="20"/>
                <w:vertAlign w:val="superscript"/>
              </w:rPr>
              <w:t>②</w:t>
            </w:r>
            <w:r>
              <w:rPr>
                <w:rFonts w:hint="default" w:ascii="Times New Roman" w:hAnsi="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2" w:hRule="exact"/>
          <w:jc w:val="center"/>
        </w:trPr>
        <w:tc>
          <w:tcPr>
            <w:tcW w:w="2396" w:type="dxa"/>
            <w:gridSpan w:val="2"/>
            <w:noWrap w:val="0"/>
            <w:vAlign w:val="center"/>
          </w:tcPr>
          <w:p>
            <w:pP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五、竞争力</w:t>
            </w:r>
          </w:p>
        </w:tc>
        <w:tc>
          <w:tcPr>
            <w:tcW w:w="12994" w:type="dxa"/>
            <w:gridSpan w:val="10"/>
            <w:tcBorders>
              <w:right w:val="single" w:color="auto" w:sz="4" w:space="0"/>
            </w:tcBorders>
            <w:noWrap w:val="0"/>
            <w:vAlign w:val="center"/>
          </w:tcPr>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符合以下条件的增计分数，最多增计30分：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1.企业生产基地被列为粤港澳“大湾区‘菜篮子’”生产基地的计20分。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2.被评定为农业部农村部畜禽养殖标准化示范场、水产健康养殖示范场或蔬菜（水果）标准园的，计10分。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3.市级及以上农业科技成果奖、科技推广奖、高新技术企业资格其中一项的计10分。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4.获育繁推一体化企业、中国种业骨干企业、种业行业评价A级信用企业、国家级良种场、被认定（或评定）为市级以上（含市级）种业类平台型企业，其中一项的计10分。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5.获市级以上休闲农业和乡村旅游示范点、观光休闲农业示范园、农业公园荣誉称号的、被评为3A级及以上旅游景点其中1项的计10分。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6.获得省级良种场、原种畜禽场或祖代种禽场认定的计8分，获得市级良种场、父母代种禽场或种畜扩繁场认定的计5分，获农作物种子经营（生产经营）许可证的计5分。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7.获著（驰）名商标证书、省名牌产品证书、广东省菜篮子基地证书、有机食品证书、绿色食品证书、无公害证书、农产品原产地证明、地理标志产品证书其中一项的计8分；被认定为市级以上农业标准化示范区的计5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8.拥有植物新品种权的、一个以上产品获得国家级奖的、商品代的产值1000万以上的、占该类品种全国市场份额1%以上的，有其中1项的计7分。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9.渔业养殖企业已完成广州市池塘养殖水治理并达到水质要求的计3分。 </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10.能够按照或高于国家标准、行业标准、地方标准进行生产的计2分。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11.农产品加工企业有符合国家环保标准、食品加工卫生标准的加工基地或生产设施，达到一项计5分，达到两项计10分。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 xml:space="preserve">12.农产品流通企业、市场带动型企业有符合国家环保要求的交易场地或农产品运输（贮藏）设施，达到一项计5分，达到两项计10分。 </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13.总资产报酬率不低于金融机构一年期银行贷款基准利率的计5分。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14.有</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"http://baike.so.com/doc/5382989-5619372.html" \t "_blank"</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发明专利</w:t>
            </w:r>
            <w:r>
              <w:rPr>
                <w:rFonts w:hint="default" w:ascii="Times New Roman" w:hAnsi="Times New Roman" w:cs="Times New Roman"/>
                <w:sz w:val="20"/>
                <w:szCs w:val="20"/>
              </w:rPr>
              <w:fldChar w:fldCharType="end"/>
            </w:r>
            <w:r>
              <w:rPr>
                <w:rFonts w:hint="default" w:ascii="Times New Roman" w:hAnsi="Times New Roman" w:cs="Times New Roman"/>
                <w:sz w:val="20"/>
                <w:szCs w:val="20"/>
              </w:rPr>
              <w:t>证书、商标注册证其中一项的计3分，没有不计分。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15.有企业管理制度和财务制度、通过企业管理体系认证、通过职业安全与卫生管理体系认证，有其中一项的计4分，没有不计分。</w:t>
            </w:r>
          </w:p>
          <w:p>
            <w:pPr>
              <w:spacing w:line="260" w:lineRule="exact"/>
              <w:rPr>
                <w:rFonts w:hint="default" w:ascii="Times New Roman" w:hAnsi="Times New Roman" w:cs="Times New Roman"/>
                <w:sz w:val="20"/>
                <w:szCs w:val="20"/>
              </w:rPr>
            </w:pPr>
            <w:r>
              <w:rPr>
                <w:rFonts w:hint="default" w:ascii="Times New Roman" w:hAnsi="Times New Roman" w:cs="Times New Roman"/>
                <w:sz w:val="20"/>
                <w:szCs w:val="20"/>
              </w:rPr>
              <w:t>16.被评为环保诚信企业或环保良好企业、守合同重信用企业称号其中一项的计3分，没有不计分。</w:t>
            </w:r>
          </w:p>
        </w:tc>
      </w:tr>
    </w:tbl>
    <w:p>
      <w:pPr>
        <w:spacing w:line="240" w:lineRule="exact"/>
        <w:ind w:left="-420" w:leftChars="-200" w:right="-531" w:rightChars="-253"/>
        <w:rPr>
          <w:rFonts w:hint="default" w:ascii="Times New Roman" w:hAnsi="Times New Roman" w:eastAsia="楷体_GB2312" w:cs="Times New Roman"/>
          <w:color w:val="000000"/>
          <w:kern w:val="0"/>
          <w:sz w:val="20"/>
          <w:szCs w:val="20"/>
        </w:rPr>
      </w:pPr>
      <w:r>
        <w:rPr>
          <w:rFonts w:hint="default" w:ascii="Times New Roman" w:hAnsi="Times New Roman" w:eastAsia="楷体_GB2312" w:cs="Times New Roman"/>
          <w:sz w:val="20"/>
          <w:szCs w:val="20"/>
        </w:rPr>
        <w:t>备注：①本办法的审核年度指从当年开展市级农业龙头企业认定通知印发之日起上溯一年计算。</w:t>
      </w:r>
    </w:p>
    <w:p>
      <w:pPr>
        <w:spacing w:line="240" w:lineRule="exact"/>
        <w:ind w:left="-420" w:leftChars="-200" w:right="-531" w:rightChars="-253"/>
        <w:rPr>
          <w:rFonts w:hint="default" w:ascii="Times New Roman" w:hAnsi="Times New Roman" w:eastAsia="楷体_GB2312" w:cs="Times New Roman"/>
          <w:sz w:val="20"/>
          <w:szCs w:val="20"/>
        </w:rPr>
        <w:sectPr>
          <w:pgSz w:w="16838" w:h="11906" w:orient="landscape"/>
          <w:pgMar w:top="1270" w:right="1349" w:bottom="1270" w:left="1406" w:header="851" w:footer="992" w:gutter="0"/>
          <w:pgNumType w:fmt="numberInDash"/>
          <w:cols w:space="720" w:num="1"/>
          <w:docGrid w:type="linesAndChars" w:linePitch="312" w:charSpace="0"/>
        </w:sectPr>
      </w:pPr>
      <w:r>
        <w:rPr>
          <w:rFonts w:hint="default" w:ascii="Times New Roman" w:hAnsi="Times New Roman" w:eastAsia="楷体_GB2312" w:cs="Times New Roman"/>
          <w:sz w:val="20"/>
          <w:szCs w:val="20"/>
        </w:rPr>
        <w:t xml:space="preserve">      ②本办法所指的紧密型带动农户，指吸收就业、订单收购、租用农地、租用农房等形式带动农户，以订单、合同、工资发放的会计凭证为准。松散型带动农户指收购农产品、开展技术培训、提供技术服务、提供经营场地、产品或服务辐射等，以合同、会计凭证、培训记录、台账等为准。紧密型带动农户数与松散型带动农户数可以按1:5折算，达到一项或折算后总和达到其中一项即可</w:t>
      </w:r>
    </w:p>
    <w:p>
      <w:pPr>
        <w:adjustRightInd w:val="0"/>
        <w:snapToGrid w:val="0"/>
        <w:spacing w:line="590" w:lineRule="exact"/>
        <w:rPr>
          <w:rFonts w:hint="default" w:ascii="Times New Roman" w:hAnsi="Times New Roman" w:eastAsia="黑体" w:cs="Times New Roman"/>
          <w:snapToGrid w:val="0"/>
          <w:kern w:val="0"/>
          <w:sz w:val="32"/>
          <w:szCs w:val="32"/>
        </w:rPr>
      </w:pPr>
    </w:p>
    <w:p>
      <w:pPr>
        <w:tabs>
          <w:tab w:val="left" w:pos="6739"/>
        </w:tabs>
        <w:jc w:val="left"/>
        <w:rPr>
          <w:rFonts w:hint="default" w:ascii="Times New Roman" w:hAnsi="Times New Roman" w:cs="Times New Roman"/>
        </w:rPr>
        <w:sectPr>
          <w:footerReference r:id="rId5" w:type="first"/>
          <w:footerReference r:id="rId4" w:type="default"/>
          <w:type w:val="continuous"/>
          <w:pgSz w:w="16838" w:h="11906" w:orient="landscape"/>
          <w:pgMar w:top="1531" w:right="1417" w:bottom="1417" w:left="1417" w:header="851" w:footer="1134" w:gutter="0"/>
          <w:pgNumType w:fmt="numberInDash"/>
          <w:cols w:space="0" w:num="1"/>
          <w:titlePg/>
          <w:rtlGutter w:val="0"/>
          <w:docGrid w:type="lines" w:linePitch="319" w:charSpace="0"/>
        </w:sect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tabs>
          <w:tab w:val="left" w:pos="6739"/>
        </w:tabs>
        <w:jc w:val="left"/>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620" w:lineRule="exact"/>
        <w:jc w:val="left"/>
        <w:textAlignment w:val="auto"/>
        <w:rPr>
          <w:rFonts w:hint="default" w:ascii="Times New Roman" w:hAnsi="Times New Roman" w:cs="Times New Roman"/>
        </w:rPr>
      </w:pPr>
    </w:p>
    <w:p>
      <w:pPr>
        <w:keepNext w:val="0"/>
        <w:keepLines w:val="0"/>
        <w:pageBreakBefore w:val="0"/>
        <w:widowControl w:val="0"/>
        <w:tabs>
          <w:tab w:val="left" w:pos="6739"/>
        </w:tabs>
        <w:kinsoku/>
        <w:wordWrap/>
        <w:overflowPunct/>
        <w:topLinePunct w:val="0"/>
        <w:autoSpaceDE/>
        <w:autoSpaceDN/>
        <w:bidi w:val="0"/>
        <w:adjustRightInd/>
        <w:snapToGrid/>
        <w:spacing w:line="620" w:lineRule="exact"/>
        <w:jc w:val="lef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公开方式：</w:t>
      </w:r>
      <w:r>
        <w:rPr>
          <w:rFonts w:hint="default" w:ascii="Times New Roman" w:hAnsi="Times New Roman" w:eastAsia="仿宋_GB2312" w:cs="Times New Roman"/>
          <w:sz w:val="32"/>
          <w:szCs w:val="32"/>
        </w:rPr>
        <w:t>主动公开</w:t>
      </w:r>
    </w:p>
    <w:sectPr>
      <w:footerReference r:id="rId7" w:type="first"/>
      <w:footerReference r:id="rId6" w:type="default"/>
      <w:pgSz w:w="11906" w:h="16838"/>
      <w:pgMar w:top="2098" w:right="1644" w:bottom="1984" w:left="1701" w:header="851" w:footer="1134" w:gutter="0"/>
      <w:pgNumType w:fmt="numberInDash"/>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both"/>
                            <w:textAlignment w:val="auto"/>
                            <w:outlineLvl w:val="9"/>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both"/>
                      <w:textAlignment w:val="auto"/>
                      <w:outlineLvl w:val="9"/>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87"/>
    <w:rsid w:val="00006E46"/>
    <w:rsid w:val="00015446"/>
    <w:rsid w:val="00017551"/>
    <w:rsid w:val="000330FF"/>
    <w:rsid w:val="00037800"/>
    <w:rsid w:val="00037812"/>
    <w:rsid w:val="00043547"/>
    <w:rsid w:val="00055115"/>
    <w:rsid w:val="000730A7"/>
    <w:rsid w:val="0008019F"/>
    <w:rsid w:val="00083CDC"/>
    <w:rsid w:val="00084A58"/>
    <w:rsid w:val="0009666C"/>
    <w:rsid w:val="000C1E7F"/>
    <w:rsid w:val="000C2BC7"/>
    <w:rsid w:val="000C3C5B"/>
    <w:rsid w:val="000D4AA0"/>
    <w:rsid w:val="000D4B0A"/>
    <w:rsid w:val="000F5DDD"/>
    <w:rsid w:val="00136B60"/>
    <w:rsid w:val="00153F85"/>
    <w:rsid w:val="00170B50"/>
    <w:rsid w:val="001903FC"/>
    <w:rsid w:val="001910CA"/>
    <w:rsid w:val="001A3602"/>
    <w:rsid w:val="001C0287"/>
    <w:rsid w:val="001C5579"/>
    <w:rsid w:val="001D14C9"/>
    <w:rsid w:val="001D15C6"/>
    <w:rsid w:val="001D1AB4"/>
    <w:rsid w:val="001F0564"/>
    <w:rsid w:val="001F1427"/>
    <w:rsid w:val="00220C42"/>
    <w:rsid w:val="00225D87"/>
    <w:rsid w:val="002263AD"/>
    <w:rsid w:val="002324EE"/>
    <w:rsid w:val="002419B1"/>
    <w:rsid w:val="00244ABC"/>
    <w:rsid w:val="00245C15"/>
    <w:rsid w:val="002558B8"/>
    <w:rsid w:val="00262B9D"/>
    <w:rsid w:val="00272A8C"/>
    <w:rsid w:val="00282B11"/>
    <w:rsid w:val="00290373"/>
    <w:rsid w:val="00290E93"/>
    <w:rsid w:val="00291A43"/>
    <w:rsid w:val="002A4888"/>
    <w:rsid w:val="002C5EE2"/>
    <w:rsid w:val="002D027B"/>
    <w:rsid w:val="002D0506"/>
    <w:rsid w:val="002D1F0C"/>
    <w:rsid w:val="002D2D79"/>
    <w:rsid w:val="002D63B6"/>
    <w:rsid w:val="002E1B5D"/>
    <w:rsid w:val="002F4B2D"/>
    <w:rsid w:val="002F6703"/>
    <w:rsid w:val="002F7A9F"/>
    <w:rsid w:val="00302D19"/>
    <w:rsid w:val="00304DA1"/>
    <w:rsid w:val="00336597"/>
    <w:rsid w:val="00366C20"/>
    <w:rsid w:val="003746B8"/>
    <w:rsid w:val="00374FB9"/>
    <w:rsid w:val="0037695E"/>
    <w:rsid w:val="00382A8C"/>
    <w:rsid w:val="00391B00"/>
    <w:rsid w:val="00391B3E"/>
    <w:rsid w:val="003B58EE"/>
    <w:rsid w:val="003C03C8"/>
    <w:rsid w:val="003C0B2B"/>
    <w:rsid w:val="003C0B7B"/>
    <w:rsid w:val="003F01DA"/>
    <w:rsid w:val="0040400E"/>
    <w:rsid w:val="00407F86"/>
    <w:rsid w:val="0041588D"/>
    <w:rsid w:val="00433DD3"/>
    <w:rsid w:val="004507D4"/>
    <w:rsid w:val="00457504"/>
    <w:rsid w:val="00462097"/>
    <w:rsid w:val="00464839"/>
    <w:rsid w:val="00484511"/>
    <w:rsid w:val="00486E40"/>
    <w:rsid w:val="00486FA9"/>
    <w:rsid w:val="00492468"/>
    <w:rsid w:val="00493E2B"/>
    <w:rsid w:val="004A75AA"/>
    <w:rsid w:val="004B03AB"/>
    <w:rsid w:val="004E0EA1"/>
    <w:rsid w:val="0051113B"/>
    <w:rsid w:val="00520137"/>
    <w:rsid w:val="005326D2"/>
    <w:rsid w:val="00532A8A"/>
    <w:rsid w:val="0056137B"/>
    <w:rsid w:val="00572AC0"/>
    <w:rsid w:val="005903D9"/>
    <w:rsid w:val="00590805"/>
    <w:rsid w:val="00593C84"/>
    <w:rsid w:val="00594CF1"/>
    <w:rsid w:val="00597F4C"/>
    <w:rsid w:val="005A59B4"/>
    <w:rsid w:val="005B750A"/>
    <w:rsid w:val="005C7F95"/>
    <w:rsid w:val="005E60B5"/>
    <w:rsid w:val="005E6269"/>
    <w:rsid w:val="00603177"/>
    <w:rsid w:val="00613DC0"/>
    <w:rsid w:val="00662BD3"/>
    <w:rsid w:val="00674FB6"/>
    <w:rsid w:val="006815B7"/>
    <w:rsid w:val="006A012B"/>
    <w:rsid w:val="006A094D"/>
    <w:rsid w:val="006C75BA"/>
    <w:rsid w:val="006D6D55"/>
    <w:rsid w:val="006F2594"/>
    <w:rsid w:val="006F318A"/>
    <w:rsid w:val="006F4A00"/>
    <w:rsid w:val="006F4E28"/>
    <w:rsid w:val="006F506E"/>
    <w:rsid w:val="00711C15"/>
    <w:rsid w:val="00714396"/>
    <w:rsid w:val="007218F2"/>
    <w:rsid w:val="007438F9"/>
    <w:rsid w:val="007526F8"/>
    <w:rsid w:val="007539E9"/>
    <w:rsid w:val="007568FF"/>
    <w:rsid w:val="00767F88"/>
    <w:rsid w:val="00777C9C"/>
    <w:rsid w:val="007B356D"/>
    <w:rsid w:val="007C2532"/>
    <w:rsid w:val="007C48D0"/>
    <w:rsid w:val="007D32D6"/>
    <w:rsid w:val="007E09F2"/>
    <w:rsid w:val="007E1E20"/>
    <w:rsid w:val="00802A5D"/>
    <w:rsid w:val="00804A71"/>
    <w:rsid w:val="0080775F"/>
    <w:rsid w:val="00847728"/>
    <w:rsid w:val="00861830"/>
    <w:rsid w:val="008647BF"/>
    <w:rsid w:val="00865154"/>
    <w:rsid w:val="008824D4"/>
    <w:rsid w:val="008859E9"/>
    <w:rsid w:val="008937A7"/>
    <w:rsid w:val="00896A99"/>
    <w:rsid w:val="008C0BF9"/>
    <w:rsid w:val="008C2482"/>
    <w:rsid w:val="008C4782"/>
    <w:rsid w:val="008C59AF"/>
    <w:rsid w:val="008D39E4"/>
    <w:rsid w:val="008D5AD4"/>
    <w:rsid w:val="008E04BB"/>
    <w:rsid w:val="008E1936"/>
    <w:rsid w:val="008E5F62"/>
    <w:rsid w:val="00904235"/>
    <w:rsid w:val="00935268"/>
    <w:rsid w:val="00936DB4"/>
    <w:rsid w:val="00943555"/>
    <w:rsid w:val="00946565"/>
    <w:rsid w:val="0095550B"/>
    <w:rsid w:val="00955C70"/>
    <w:rsid w:val="00964192"/>
    <w:rsid w:val="0097277E"/>
    <w:rsid w:val="00977CB6"/>
    <w:rsid w:val="0098000D"/>
    <w:rsid w:val="00984B50"/>
    <w:rsid w:val="009C11FE"/>
    <w:rsid w:val="009F1343"/>
    <w:rsid w:val="009F3229"/>
    <w:rsid w:val="00A03E41"/>
    <w:rsid w:val="00A37997"/>
    <w:rsid w:val="00A41A4B"/>
    <w:rsid w:val="00A444B6"/>
    <w:rsid w:val="00A67DE5"/>
    <w:rsid w:val="00A85D18"/>
    <w:rsid w:val="00A87F30"/>
    <w:rsid w:val="00A925A8"/>
    <w:rsid w:val="00A9284C"/>
    <w:rsid w:val="00A95B2F"/>
    <w:rsid w:val="00AA11BC"/>
    <w:rsid w:val="00AB2C74"/>
    <w:rsid w:val="00AD0FEF"/>
    <w:rsid w:val="00AD47C3"/>
    <w:rsid w:val="00AD7A13"/>
    <w:rsid w:val="00AE049E"/>
    <w:rsid w:val="00AE2138"/>
    <w:rsid w:val="00AE2773"/>
    <w:rsid w:val="00AE7A22"/>
    <w:rsid w:val="00AF48DC"/>
    <w:rsid w:val="00B04A1F"/>
    <w:rsid w:val="00B1340D"/>
    <w:rsid w:val="00B14270"/>
    <w:rsid w:val="00B15098"/>
    <w:rsid w:val="00B22E82"/>
    <w:rsid w:val="00B36997"/>
    <w:rsid w:val="00B37EF4"/>
    <w:rsid w:val="00B41569"/>
    <w:rsid w:val="00B47C23"/>
    <w:rsid w:val="00B701AE"/>
    <w:rsid w:val="00B848BC"/>
    <w:rsid w:val="00B93D94"/>
    <w:rsid w:val="00B96E89"/>
    <w:rsid w:val="00BA467D"/>
    <w:rsid w:val="00BB0B8C"/>
    <w:rsid w:val="00BB1D9A"/>
    <w:rsid w:val="00BC3982"/>
    <w:rsid w:val="00BD6499"/>
    <w:rsid w:val="00BE1B15"/>
    <w:rsid w:val="00C2599F"/>
    <w:rsid w:val="00C26B61"/>
    <w:rsid w:val="00C30ADD"/>
    <w:rsid w:val="00C630E5"/>
    <w:rsid w:val="00C71286"/>
    <w:rsid w:val="00C726B6"/>
    <w:rsid w:val="00C84305"/>
    <w:rsid w:val="00C94F39"/>
    <w:rsid w:val="00C9728F"/>
    <w:rsid w:val="00CB3133"/>
    <w:rsid w:val="00CC37A2"/>
    <w:rsid w:val="00CE5B3A"/>
    <w:rsid w:val="00CE622B"/>
    <w:rsid w:val="00CE6AF1"/>
    <w:rsid w:val="00CF529C"/>
    <w:rsid w:val="00CF7B61"/>
    <w:rsid w:val="00D14536"/>
    <w:rsid w:val="00D2037C"/>
    <w:rsid w:val="00D2507E"/>
    <w:rsid w:val="00D34FEE"/>
    <w:rsid w:val="00D36E51"/>
    <w:rsid w:val="00D42941"/>
    <w:rsid w:val="00D44404"/>
    <w:rsid w:val="00D5308D"/>
    <w:rsid w:val="00D5789F"/>
    <w:rsid w:val="00D60D31"/>
    <w:rsid w:val="00D62479"/>
    <w:rsid w:val="00D66CC5"/>
    <w:rsid w:val="00D742A2"/>
    <w:rsid w:val="00D86DD7"/>
    <w:rsid w:val="00DA01E2"/>
    <w:rsid w:val="00DA7713"/>
    <w:rsid w:val="00DC11CB"/>
    <w:rsid w:val="00DD1B1A"/>
    <w:rsid w:val="00DE0418"/>
    <w:rsid w:val="00DE2438"/>
    <w:rsid w:val="00E016A3"/>
    <w:rsid w:val="00E022ED"/>
    <w:rsid w:val="00E20674"/>
    <w:rsid w:val="00E210EE"/>
    <w:rsid w:val="00E500D0"/>
    <w:rsid w:val="00E56728"/>
    <w:rsid w:val="00E65CB5"/>
    <w:rsid w:val="00E7167F"/>
    <w:rsid w:val="00E77EC0"/>
    <w:rsid w:val="00E92621"/>
    <w:rsid w:val="00EA4EC2"/>
    <w:rsid w:val="00EA7583"/>
    <w:rsid w:val="00EB120C"/>
    <w:rsid w:val="00EC27AC"/>
    <w:rsid w:val="00ED3760"/>
    <w:rsid w:val="00EE4A31"/>
    <w:rsid w:val="00EE71BD"/>
    <w:rsid w:val="00EF132A"/>
    <w:rsid w:val="00F10E73"/>
    <w:rsid w:val="00F13002"/>
    <w:rsid w:val="00F21B26"/>
    <w:rsid w:val="00F23DE7"/>
    <w:rsid w:val="00F27B7C"/>
    <w:rsid w:val="00F34F78"/>
    <w:rsid w:val="00F5646A"/>
    <w:rsid w:val="00FB02D1"/>
    <w:rsid w:val="00FC3279"/>
    <w:rsid w:val="00FF3A9E"/>
    <w:rsid w:val="06F0461F"/>
    <w:rsid w:val="06F839E8"/>
    <w:rsid w:val="08EA2924"/>
    <w:rsid w:val="08EB7129"/>
    <w:rsid w:val="0AAE4568"/>
    <w:rsid w:val="0B2A74F2"/>
    <w:rsid w:val="0DE0231B"/>
    <w:rsid w:val="12935578"/>
    <w:rsid w:val="13352CE8"/>
    <w:rsid w:val="13B0574F"/>
    <w:rsid w:val="141117D2"/>
    <w:rsid w:val="14C57F0F"/>
    <w:rsid w:val="195E5655"/>
    <w:rsid w:val="1AB1516C"/>
    <w:rsid w:val="1AF1603A"/>
    <w:rsid w:val="1C4A48F8"/>
    <w:rsid w:val="1D101CA7"/>
    <w:rsid w:val="210B5BA3"/>
    <w:rsid w:val="212464DC"/>
    <w:rsid w:val="218F5D85"/>
    <w:rsid w:val="260C142E"/>
    <w:rsid w:val="29A53E82"/>
    <w:rsid w:val="2CC61496"/>
    <w:rsid w:val="2D253AE7"/>
    <w:rsid w:val="2D6E00BA"/>
    <w:rsid w:val="2ECB3C2F"/>
    <w:rsid w:val="2FBE0F19"/>
    <w:rsid w:val="3223465A"/>
    <w:rsid w:val="32631145"/>
    <w:rsid w:val="33265E6C"/>
    <w:rsid w:val="342F3D09"/>
    <w:rsid w:val="34502F82"/>
    <w:rsid w:val="36580AD5"/>
    <w:rsid w:val="3A0F0F34"/>
    <w:rsid w:val="3ACC5505"/>
    <w:rsid w:val="3BAB4EB0"/>
    <w:rsid w:val="3C010FBE"/>
    <w:rsid w:val="3C910A78"/>
    <w:rsid w:val="3D291555"/>
    <w:rsid w:val="3DFC67B2"/>
    <w:rsid w:val="3E66562E"/>
    <w:rsid w:val="40A5788D"/>
    <w:rsid w:val="4714401E"/>
    <w:rsid w:val="494262EB"/>
    <w:rsid w:val="4A467FB6"/>
    <w:rsid w:val="4B185407"/>
    <w:rsid w:val="4D372FC7"/>
    <w:rsid w:val="4D391BA6"/>
    <w:rsid w:val="513D42E6"/>
    <w:rsid w:val="53AA5E01"/>
    <w:rsid w:val="5663596C"/>
    <w:rsid w:val="56B85FDE"/>
    <w:rsid w:val="579D44AB"/>
    <w:rsid w:val="59F04F21"/>
    <w:rsid w:val="5A246915"/>
    <w:rsid w:val="5AF93299"/>
    <w:rsid w:val="5B4F244B"/>
    <w:rsid w:val="5C430B95"/>
    <w:rsid w:val="5D1645D9"/>
    <w:rsid w:val="5D8E22B1"/>
    <w:rsid w:val="5DE659C3"/>
    <w:rsid w:val="5EB81595"/>
    <w:rsid w:val="5F260277"/>
    <w:rsid w:val="5FB703BF"/>
    <w:rsid w:val="6252484E"/>
    <w:rsid w:val="63B03CEF"/>
    <w:rsid w:val="67810DBF"/>
    <w:rsid w:val="68021BCC"/>
    <w:rsid w:val="684116BA"/>
    <w:rsid w:val="695B0483"/>
    <w:rsid w:val="6B0F3990"/>
    <w:rsid w:val="6B560D46"/>
    <w:rsid w:val="70035D84"/>
    <w:rsid w:val="708472A7"/>
    <w:rsid w:val="7102054A"/>
    <w:rsid w:val="716C6ACF"/>
    <w:rsid w:val="71983264"/>
    <w:rsid w:val="73AA4706"/>
    <w:rsid w:val="73AF3579"/>
    <w:rsid w:val="751A0452"/>
    <w:rsid w:val="77273839"/>
    <w:rsid w:val="77861B74"/>
    <w:rsid w:val="779E389C"/>
    <w:rsid w:val="78214998"/>
    <w:rsid w:val="795E269E"/>
    <w:rsid w:val="798039BC"/>
    <w:rsid w:val="79E37E7C"/>
    <w:rsid w:val="7A1A71CC"/>
    <w:rsid w:val="7B1205D0"/>
    <w:rsid w:val="7CE775A9"/>
    <w:rsid w:val="7D5C477F"/>
    <w:rsid w:val="7E0712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line="576" w:lineRule="auto"/>
      <w:outlineLvl w:val="0"/>
    </w:pPr>
    <w:rPr>
      <w:b/>
      <w:kern w:val="44"/>
      <w:sz w:val="44"/>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7"/>
    <w:qFormat/>
    <w:uiPriority w:val="99"/>
    <w:rPr>
      <w:rFonts w:ascii="宋体" w:hAnsi="Courier New" w:cs="宋体"/>
    </w:rPr>
  </w:style>
  <w:style w:type="paragraph" w:styleId="4">
    <w:name w:val="Date"/>
    <w:basedOn w:val="1"/>
    <w:next w:val="1"/>
    <w:link w:val="16"/>
    <w:semiHidden/>
    <w:qFormat/>
    <w:uiPriority w:val="99"/>
    <w:pPr>
      <w:ind w:left="100" w:leftChars="2500"/>
    </w:pPr>
    <w:rPr>
      <w:rFonts w:ascii="Times New Roman" w:hAnsi="Times New Roman" w:cs="Times New Roman"/>
    </w:rPr>
  </w:style>
  <w:style w:type="paragraph" w:styleId="5">
    <w:name w:val="Balloon Text"/>
    <w:basedOn w:val="1"/>
    <w:link w:val="19"/>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page number"/>
    <w:basedOn w:val="10"/>
    <w:qFormat/>
    <w:uiPriority w:val="0"/>
    <w:rPr>
      <w:rFonts w:ascii="宋体" w:hAnsi="宋体" w:cs="宋体"/>
      <w:sz w:val="28"/>
      <w:szCs w:val="28"/>
    </w:rPr>
  </w:style>
  <w:style w:type="character" w:styleId="12">
    <w:name w:val="Hyperlink"/>
    <w:basedOn w:val="10"/>
    <w:qFormat/>
    <w:uiPriority w:val="99"/>
    <w:rPr>
      <w:color w:val="0000FF"/>
      <w:u w:val="single"/>
    </w:rPr>
  </w:style>
  <w:style w:type="character" w:customStyle="1" w:styleId="13">
    <w:name w:val="页眉 Char"/>
    <w:basedOn w:val="10"/>
    <w:link w:val="7"/>
    <w:qFormat/>
    <w:locked/>
    <w:uiPriority w:val="99"/>
    <w:rPr>
      <w:sz w:val="18"/>
      <w:szCs w:val="18"/>
    </w:rPr>
  </w:style>
  <w:style w:type="character" w:customStyle="1" w:styleId="14">
    <w:name w:val="页脚 Char"/>
    <w:basedOn w:val="10"/>
    <w:link w:val="6"/>
    <w:qFormat/>
    <w:locked/>
    <w:uiPriority w:val="99"/>
    <w:rPr>
      <w:sz w:val="18"/>
      <w:szCs w:val="18"/>
    </w:rPr>
  </w:style>
  <w:style w:type="paragraph" w:customStyle="1" w:styleId="15">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6">
    <w:name w:val="日期 Char"/>
    <w:basedOn w:val="10"/>
    <w:link w:val="4"/>
    <w:semiHidden/>
    <w:qFormat/>
    <w:locked/>
    <w:uiPriority w:val="99"/>
    <w:rPr>
      <w:rFonts w:ascii="Times New Roman" w:hAnsi="Times New Roman" w:eastAsia="宋体" w:cs="Times New Roman"/>
      <w:sz w:val="24"/>
      <w:szCs w:val="24"/>
    </w:rPr>
  </w:style>
  <w:style w:type="character" w:customStyle="1" w:styleId="17">
    <w:name w:val="纯文本 Char"/>
    <w:basedOn w:val="10"/>
    <w:link w:val="3"/>
    <w:qFormat/>
    <w:locked/>
    <w:uiPriority w:val="99"/>
    <w:rPr>
      <w:rFonts w:ascii="宋体" w:hAnsi="Courier New" w:eastAsia="宋体" w:cs="宋体"/>
      <w:sz w:val="21"/>
      <w:szCs w:val="21"/>
    </w:rPr>
  </w:style>
  <w:style w:type="paragraph" w:customStyle="1" w:styleId="18">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character" w:customStyle="1" w:styleId="19">
    <w:name w:val="批注框文本 Char"/>
    <w:basedOn w:val="10"/>
    <w:link w:val="5"/>
    <w:semiHidden/>
    <w:qFormat/>
    <w:uiPriority w:val="99"/>
    <w:rPr>
      <w:rFonts w:cs="Calibri"/>
      <w:kern w:val="2"/>
      <w:sz w:val="18"/>
      <w:szCs w:val="18"/>
    </w:rPr>
  </w:style>
  <w:style w:type="character" w:customStyle="1" w:styleId="20">
    <w:name w:val="font01"/>
    <w:basedOn w:val="10"/>
    <w:qFormat/>
    <w:uiPriority w:val="0"/>
    <w:rPr>
      <w:rFonts w:hint="eastAsia" w:ascii="宋体" w:hAnsi="宋体" w:eastAsia="宋体" w:cs="宋体"/>
      <w:color w:val="000000"/>
      <w:sz w:val="32"/>
      <w:szCs w:val="32"/>
      <w:u w:val="none"/>
    </w:rPr>
  </w:style>
  <w:style w:type="character" w:customStyle="1" w:styleId="21">
    <w:name w:val="font21"/>
    <w:basedOn w:val="10"/>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141B8-84BC-4F85-8C22-CEF7466FAB7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1884</Words>
  <Characters>10739</Characters>
  <Lines>89</Lines>
  <Paragraphs>25</Paragraphs>
  <TotalTime>7</TotalTime>
  <ScaleCrop>false</ScaleCrop>
  <LinksUpToDate>false</LinksUpToDate>
  <CharactersWithSpaces>12598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2018-06-11T09:15:00Z</dcterms:created>
  <dc:creator>ᴘ๮</dc:creator>
  <cp:lastModifiedBy>Administrator</cp:lastModifiedBy>
  <cp:lastPrinted>2020-09-17T04:48:00Z</cp:lastPrinted>
  <dcterms:modified xsi:type="dcterms:W3CDTF">2020-09-18T06:33:04Z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