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Times New Roman" w:hAnsi="Times New Roman" w:eastAsiaTheme="minorEastAsia" w:cstheme="minorEastAsia"/>
          <w:b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201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highlight w:val="none"/>
        </w:rPr>
        <w:t>年广州市白云区国民经济和社会发展统计公报</w:t>
      </w:r>
    </w:p>
    <w:p>
      <w:pPr>
        <w:shd w:val="clear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</w:rPr>
      </w:pPr>
    </w:p>
    <w:p>
      <w:pPr>
        <w:shd w:val="clear"/>
        <w:ind w:firstLine="64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cyan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在区委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区政府的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坚强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领导下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在区人大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区政协的监督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白云区以习近平新时代中国特色社会主义思想为指导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全面贯彻落实党的十九大和十九届二中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三中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四中全会精神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认真贯彻中央经济工作会议精神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深入学习贯彻习近平总书记对广东重要讲话和重要指示批示精神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坚持稳中求进工作总基调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全面实施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1358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发展思路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以供给侧结构性改革为主线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推动高质量发展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推进国家中心城市和国际大都市的现代化中心城区建设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扎实做好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六稳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综合经济实力进一步增强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社会事业不断进步，城乡环境面貌明显改善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一、综合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经济总量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  <w:lang w:eastAsia="zh-CN"/>
        </w:rPr>
        <w:t>经济发展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平稳向好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</w:rPr>
        <w:t>初步核算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/>
        </w:rPr>
        <w:t>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</w:rPr>
        <w:t>白云区生产总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2211.82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，占全市经济总量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9.4%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，位居全市第四，比上年上升了一个位次；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，增速高于广州市（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6.8%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0.5个百分点，位居全市第五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第一产业增加值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31.56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第二产业增加值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444.67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第三产业增加值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1735.59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第一、二、三次产业增加值的比例为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4：20.1：78.5，第二、三产业对经济增长的贡献率分别为22.9%和76.4%。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</w:rPr>
        <w:drawing>
          <wp:inline distT="0" distB="0" distL="114300" distR="114300">
            <wp:extent cx="0" cy="0"/>
            <wp:effectExtent l="0" t="0" r="0" b="0"/>
            <wp:docPr id="1" name="图片 1" descr="QQ截图2017020520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2052015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</w:rPr>
        <w:drawing>
          <wp:inline distT="0" distB="0" distL="114300" distR="114300">
            <wp:extent cx="0" cy="0"/>
            <wp:effectExtent l="0" t="0" r="0" b="0"/>
            <wp:docPr id="2" name="图片 2" descr="QQ截图2017020520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702052015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42155" cy="2809875"/>
            <wp:effectExtent l="4445" t="5080" r="6350" b="4445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cyan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财</w:t>
      </w: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  <w:lang w:eastAsia="zh-CN"/>
        </w:rPr>
        <w:t>税</w:t>
      </w: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金融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全年实现税收总额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250.64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7.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drawing>
          <wp:inline distT="0" distB="0" distL="114300" distR="114300">
            <wp:extent cx="4991100" cy="2743200"/>
            <wp:effectExtent l="4445" t="4445" r="14605" b="14605"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地方财税收入平稳增长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完成地方一般公共预算收入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62.34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（按可比口径增长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。其中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税收收入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44.23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非税收入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18.11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从收入部门方面看，税务部门收入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48.37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5.1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%；财政部门收入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13.97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14.0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分税种看，增值税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17.30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 w:bidi="ar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1.0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；城市维护建设税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7.72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 w:bidi="ar"/>
        </w:rPr>
        <w:t>3.3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 w:bidi="ar"/>
        </w:rPr>
        <w:t>房产税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6.93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 w:bidi="ar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30.4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企业所得税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5.86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9.1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drawing>
          <wp:inline distT="0" distB="0" distL="114300" distR="114300">
            <wp:extent cx="5272405" cy="2636520"/>
            <wp:effectExtent l="4445" t="4445" r="19050" b="698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财政支出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向教育和社保就业等民生领域倾斜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一般公共预算支出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181.77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八大类支出合计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150.59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亿元，占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全区一般公共预算支出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比重为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其中，用于教育支出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39.84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亿元，占全区一般公共预算支出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比重为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城乡社区支出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33.02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亿元，占全区比重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33.5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社会保障和就业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15.35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亿元，占全区比重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28.9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卫生健康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亿元，占全区比重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金融业增加值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3.78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共有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境内外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上市企业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、新三板企业18家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与上年同期相比，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新增广东股权交易中心挂牌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展示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293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新增风投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创投、股权投资机构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“四上”企业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“四上”企业大幅增长。年末共有“四上”企业3612家，新增“四上”企业1067家，净增776家；其中，新增工业315家，净增231家。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黑体" w:cs="黑体"/>
          <w:b w:val="0"/>
          <w:bCs/>
          <w:color w:val="FF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shd w:val="clear"/>
          <w:lang w:eastAsia="zh-CN"/>
        </w:rPr>
        <w:t>二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shd w:val="clear"/>
        </w:rPr>
        <w:t>、固定资产投资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固定资产投资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快速增长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所在地统计，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固定资产投资同比增长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23.6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00B0F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从投资主体看，国有投资占全区固定资产投资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41.5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96.2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；民间投资占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；港澳台投资占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46.4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；外商投资占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；其他投资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34.1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00B0F0"/>
          <w:sz w:val="32"/>
          <w:szCs w:val="32"/>
          <w:highlight w:val="none"/>
          <w:shd w:val="clear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从投资构成看，产业投资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；基础设施投资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34.1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79.3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；社会民生投资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62.0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6" w:right="90" w:firstLine="605"/>
        <w:textAlignment w:val="auto"/>
        <w:outlineLvl w:val="9"/>
        <w:rPr>
          <w:rFonts w:hint="eastAsia" w:ascii="Times New Roman" w:hAnsi="Times New Roman" w:eastAsia="仿宋_GB2312" w:cs="仿宋_GB2312"/>
          <w:color w:val="00B0F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房地产开发投资同比增长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6.5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。房地产房屋施工面积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617.71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万平方米，同比增长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房屋竣工面积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100.25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万平方米，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1.4倍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、农业</w:t>
      </w:r>
    </w:p>
    <w:p>
      <w:pPr>
        <w:ind w:firstLine="600"/>
        <w:rPr>
          <w:rFonts w:ascii="Times New Roman" w:hAnsi="Times New Roman" w:eastAsia="仿宋_GB2312" w:cs="仿宋_GB2312"/>
          <w:color w:val="auto"/>
          <w:sz w:val="32"/>
          <w:szCs w:val="32"/>
          <w:highlight w:val="gree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农业生产总体平稳。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实现农业增加值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36.15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亿元，同比增长3.1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。农业总产值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60.43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亿元，同比增长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其中，种植业产值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38.37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8.8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；农林牧渔服务业产值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11.12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5.7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；畜牧业产值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7.64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4.3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；渔业产值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3.23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亿元，下降11.6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；林业产值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0.08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亿元，下降22.8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年末蔬菜种植面积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58.03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万亩，水果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万亩。全年肉类产量2.42万吨，水产品2.68万吨，蔬菜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84.57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万吨，水果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0.42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万吨，花卉（鲜切花）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3153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万枝。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、工业、能源和建筑业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工业生产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1"/>
        <w:textAlignment w:val="auto"/>
        <w:outlineLvl w:val="9"/>
        <w:rPr>
          <w:rFonts w:hint="eastAsia" w:ascii="Times New Roman" w:hAnsi="Times New Roman" w:eastAsia="仿宋_GB2312" w:cs="仿宋_GB2312"/>
          <w:color w:val="00B0F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工业生产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增长稳定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工业增加值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352.21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规模以上工业总产值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877.31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仿宋_GB2312" w:cs="仿宋_GB2312"/>
          <w:color w:val="00B0F0"/>
          <w:sz w:val="32"/>
          <w:szCs w:val="32"/>
          <w:highlight w:val="none"/>
          <w:lang w:eastAsia="zh-CN"/>
        </w:rPr>
      </w:pPr>
      <w:r>
        <w:drawing>
          <wp:inline distT="0" distB="0" distL="114300" distR="114300">
            <wp:extent cx="4991100" cy="2743200"/>
            <wp:effectExtent l="4445" t="4445" r="14605" b="14605"/>
            <wp:docPr id="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560" w:hanging="560" w:hangingChars="200"/>
        <w:jc w:val="left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highlight w:val="none"/>
          <w:lang w:eastAsia="zh-CN"/>
        </w:rPr>
        <w:t>注：按照国家统计制度要求，从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highlight w:val="none"/>
          <w:lang w:val="en-US" w:eastAsia="zh-CN"/>
        </w:rPr>
        <w:t>2017年开始调整统计口径。增长速度按可比口径计算。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1"/>
        <w:textAlignment w:val="auto"/>
        <w:outlineLvl w:val="9"/>
        <w:rPr>
          <w:rFonts w:hint="eastAsia" w:ascii="Times New Roman" w:hAnsi="Times New Roman" w:eastAsia="仿宋_GB2312" w:cs="仿宋_GB2312"/>
          <w:color w:val="00B0F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在规模以上工业企业中，民营工业企业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完成产值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717.44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，占全区规模以上工业总产值的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81.8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。年产值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5亿元以上的企业有28家，上报工业总产值392.11亿元，同比增长10.8%；年产值1亿至5亿元的企业有127家，上报工业总产值260.53亿元，增长14.5%；年产值1亿元以下的企业有554家，上报工业总产值224.67亿元，下降9.1%。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按登记注册类型分，国有及国有控股企业产值占全区规模以上工业总产值的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0.4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集体企业产值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占全区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0.8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11.1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外商和港澳台资企业产值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占全区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20.1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股份制企业产值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占全区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76.6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股份合作企业产值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占全区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，增长4.7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1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分行业看，五大主要行业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 w:bidi="ar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实现产值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471.64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7.7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具体明细如下：</w:t>
      </w:r>
    </w:p>
    <w:tbl>
      <w:tblPr>
        <w:tblStyle w:val="6"/>
        <w:tblW w:w="83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0"/>
        <w:gridCol w:w="876"/>
        <w:gridCol w:w="1770"/>
        <w:gridCol w:w="1020"/>
        <w:gridCol w:w="11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331" w:type="dxa"/>
            <w:gridSpan w:val="5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2019年规模以上工业五大主要行业情况表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1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         标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17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2019年产值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比重(%)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同比增速（%）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规模以上工业总产值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877.31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其中：五大主要行业产值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471.64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家具制造业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164.05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化学原料和化学制品制造业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电气机械和器材制造业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通用设备制造业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橡胶和塑料制品业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-8.1 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1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民科园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 w:bidi="ar"/>
        </w:rPr>
        <w:t>一核四园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完成规模以上工业产值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328.71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 w:bidi="ar"/>
        </w:rPr>
        <w:t>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全区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 w:bidi="ar"/>
        </w:rPr>
        <w:t>增速高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4.2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个百分点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1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白云区主要工业产品产量如下表：</w:t>
      </w:r>
    </w:p>
    <w:p>
      <w:pPr>
        <w:jc w:val="center"/>
        <w:rPr>
          <w:rFonts w:hint="eastAsia" w:ascii="Times New Roman" w:hAnsi="Times New Roman" w:eastAsia="仿宋_GB2312" w:cs="仿宋_GB2312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2019</w:t>
      </w: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</w:rPr>
        <w:t>年规模以上工业企业主要工业产品产量及增速</w:t>
      </w:r>
    </w:p>
    <w:tbl>
      <w:tblPr>
        <w:tblStyle w:val="6"/>
        <w:tblW w:w="83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5"/>
        <w:gridCol w:w="1431"/>
        <w:gridCol w:w="1815"/>
        <w:gridCol w:w="19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      标</w:t>
            </w:r>
          </w:p>
        </w:tc>
        <w:tc>
          <w:tcPr>
            <w:tcW w:w="1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2019年产量</w:t>
            </w:r>
          </w:p>
        </w:tc>
        <w:tc>
          <w:tcPr>
            <w:tcW w:w="19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同比增长（%）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261154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5009848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277647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3423714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4699755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54473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电梯、自动扶梯及升降机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气体压缩机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8827944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灯具及照明装置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套（台、个）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92650695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组合音响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4148095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电子元件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20.1 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00B0F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规模以上工业企业主营业务收入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834.21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4.0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；利润总额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44.85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6.4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工业企业产销情况良好，规模以上工业产品销售率达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95.6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能源消耗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cya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全社会用电量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143.12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亿千瓦时，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。其中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工业用电量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50.11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亿千瓦时，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0.7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规模以上工业企业能源消费总量为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71.57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万吨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标准煤。其中，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原煤工业生产消费量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18.54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万吨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标准煤，占全区规模以上工业能源消费比重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25.9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；电力工业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生产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消费量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16.60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万吨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标准煤，占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建筑业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建筑业实现迅猛增长。全年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建筑业实现增加值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93.08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辖区内有总承包或专业承包资质的建筑业法人单位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完成总产值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189.16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。其中，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 w:bidi="ar"/>
        </w:rPr>
        <w:t>建筑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工程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 w:bidi="ar"/>
        </w:rPr>
        <w:t>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 w:bidi="ar"/>
        </w:rPr>
        <w:t>较快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，完成产值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144.48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1.4倍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 w:bidi="ar"/>
        </w:rPr>
        <w:t>安装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工程完成产值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12.61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3.7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黑体" w:cs="仿宋_GB2312"/>
          <w:b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国内贸易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3" w:firstLineChars="198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消费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市场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交易活跃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社会消费品零售总额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1111.37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其中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，批发零售业零售额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914.96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；住宿餐饮业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餐费收入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196.41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4991100" cy="2743200"/>
            <wp:effectExtent l="4445" t="4445" r="14605" b="14605"/>
            <wp:docPr id="1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3" w:firstLineChars="198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全年实现商品销售总额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3323.79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。其中，批发业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商品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销售额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2011.64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；零售业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商品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销售额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1312.15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。全区限额以上批零企业商品销售额居前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位的商品依次是：金属材料类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554.74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；汽车类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498.69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；石油及制品类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352.69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中西药品类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162.19亿元，增长25.7%；粮油、食品类124.93亿元，增长11.8%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年实现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住宿和餐饮业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营业额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233.57亿元，同比增长13.3%。其中，住宿业营业额17.24亿元，同比增长12.3%；餐饮业营业额216.32亿元，增长13.4%。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、对外经济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对外贸易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00B0F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全年全区进出口总值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73.79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亿美元，同比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17.2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。其中，出口总值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51.87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亿美元，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同比下降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12.1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；进口总值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21.92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亿美元，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27.3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drawing>
          <wp:inline distT="0" distB="0" distL="114300" distR="114300">
            <wp:extent cx="4991100" cy="2743200"/>
            <wp:effectExtent l="4445" t="4445" r="14605" b="14605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drawing>
          <wp:inline distT="0" distB="0" distL="114300" distR="114300">
            <wp:extent cx="5272405" cy="2636520"/>
            <wp:effectExtent l="4445" t="4445" r="19050" b="6985"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FF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利用外资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全年外商直接投资项目230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个，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同比下降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23.6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实际利用外资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3.13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亿美元，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1.1倍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批准利用外资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5.50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亿美元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0.7%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、交通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、电信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和旅游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6" w:firstLineChars="198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交通运输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33" w:firstLineChars="198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cyan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机场客货吞吐量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稳步提升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白云国际机场旅客吞吐量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7338.61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万人次，同比增长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；机场货邮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吞吐量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254.85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万吨，增长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。航空运输业客货运周转量211.69亿吨公里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6.6%。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电信事业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/>
          <w:color w:val="auto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全年电信业务总量47.69亿元，同比下降约13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%。年末全区固定电话用户37.55万户，同比下降15.8%；移动电话用户628.75万户，同比增长8.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%，其中，3G移动电话用户22.92万户，4G移动电话用户605.83万户。固定互联网宽带接入用户88.65万户，同比下降约9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%；移动互联网用户433.39万户，同比下降25.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旅游事业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年末全区拥有国家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A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级旅游景区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个，其中，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5A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级景区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个，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4A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级景区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个，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3A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级景区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个。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城市接待总人数为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2495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，同比增长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4.4%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过夜人数为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1187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，同比增长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4.0%；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一日游人数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1308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，增长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4.7%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旅游业实现总收入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66.72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元，同比增长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4.5%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白云山风景区云台花园在春节期间举办“云山春华•遇见花开”郁金香主题花展活动，在中秋节期间“灯耀羊城，花映云山”灯饰花卉嘉年华活动；明珠楼开展了白云山首届桃花文化节活动；鸣春谷管理处与广东广播电视台珠江经济台联手举办了“珠江鸣春第一声”旅游活动和郑仙旅游文化节系列活动；雕塑公园举办了2019年“簕杜鹃花展”活动。全年总进园人次为1795万人次，票务总收入达到1.13亿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帽峰山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景区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全年共接待游客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36.17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万人次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门票收入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334.25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黑体" w:cs="黑体"/>
          <w:b w:val="0"/>
          <w:bCs/>
          <w:color w:val="FF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、服务业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00B0F0"/>
          <w:sz w:val="32"/>
          <w:szCs w:val="32"/>
          <w:highlight w:val="lightGray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服务业发展稳健。全年规模以上服务业营业收入1811.66亿元，同比增长7.9%。其中，租赁和商务服务业营业收入206.61亿元，同比增长12.3%；互联网和相关服务、软件和信息技术服务业营业收入46.26亿元，增长37.8%；居民服务、修理和其他服务业营业收入11.92亿元，增长24.1%；文化、体育和娱乐业营业收入11.77亿元，增长44.8%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九、人口状况、人民生活和社会保障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人口状况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00B0F0"/>
          <w:sz w:val="32"/>
          <w:szCs w:val="32"/>
          <w:highlight w:val="lightGray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年末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常住人口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277.96万人，城镇人口比重为81.04%。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年末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户籍人口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108.02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万人，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比上年末增加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4.68万人。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男性人口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53.37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万人，女性人口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54.65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万人。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人民生活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常住居民人均可支配收入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66302元，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8.5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农村常住居民人均可支配收入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29116元，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11.0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3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全年城镇常住居民家庭人均消费支出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44976元，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7.5%；农村常住居民家庭人均消费支出22229元，增长10.4%。城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常住居民恩格尔系数为32.1%。城镇常住居民消费支出中教育文化娱乐支出所占比重为13.8%。农村常住居民恩格尔系数为38.1%。农村常住居民消费支出中教育文化娱乐支出所占比重为10.9%。全年城镇常住居民居住住房总建筑面积人均33.89平方米；农村常住居民居住住房总建筑面积人均59.53平方米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社会保障</w:t>
      </w:r>
    </w:p>
    <w:p>
      <w:pPr>
        <w:pStyle w:val="2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全年城乡居民社会医疗保险参保人数74万人，城乡居民社会养老保险参保人数19.74万人。各类社会保险参保人数337.56万人。参加养老保险、失业保险、工伤保险、生育保险、医疗保险分别有753.27万人次、769.07万人次、738.80万人次、740.23万人次和826.47万人次，五大险种征缴金额共计132.44亿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00B0F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兜住民生底线，年末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享受城市居民最低生活保障人数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1705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人，享受农村居民最低生活保障人数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1646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。不断提高低保救助标准，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低保标准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提升至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每人每年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12120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元。</w:t>
      </w:r>
    </w:p>
    <w:p>
      <w:pPr>
        <w:pStyle w:val="2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全年发放各类社会救助金1.2亿元，受惠困难对象27万人次。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  <w:lang w:eastAsia="zh-CN"/>
        </w:rPr>
        <w:t>养老服务日益改善。全区各居家养老服务中心、护理站今年累计提供上门家政服务30725人次，已有7个家政企业参与社区居家养老服务，覆盖6个镇街，各家政企业累计服务11722人次。经优化调整后全区共设有140个助餐点，日均服务近3000人，今年累计服务71.8万多人次，积极发动高校，企事业单位食堂参与配餐服务，累计服务长者10949人次。全区已建成护理站15个，共开展相关宣传活动608场，参与群众26350人次；为3224名老人提供上门医疗、护理服务，服务7333人次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社会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就业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全年全区城镇登记失业人员27081人，帮助城镇登记失业人员实现再就业23677人，城镇登记失业人员就业率达87.43%。</w:t>
      </w:r>
    </w:p>
    <w:p>
      <w:pPr>
        <w:pStyle w:val="2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全年城镇新增就业3.5万人，帮扶就业困难人员实现再就业1.2万人。建成省级“粤菜师傅”培训基地，整顿人力资源市场秩序专项行动受人社部表扬。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亿元生产总值生产安全事故死亡人数为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0303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，同比下降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31.6%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、科技发展和教育事业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科学技术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自主创新能力不断增强。新认定高新技术企业283家；新增市级以上孵化器和众创空间12家、孵化面积9.6万平方米，分别增长42.8%、20.7%。规上工业企业建立研发机构比例为45.3%。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全年专利申请量21496件，同比增长18.5%，增速在全市排名第二位。其中，发明专利申请量2735件，增长5.1%，增速在全市排名第三位。专利授权量12908件，同比增长22.9%，增速在全市排名第三位。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cyan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  <w:lang w:eastAsia="zh-CN"/>
        </w:rPr>
        <w:t>科学技术财政支出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/>
          <w:lang w:val="en-US" w:eastAsia="zh-CN"/>
        </w:rPr>
        <w:t>9.46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/>
          <w:lang w:val="en-US" w:eastAsia="zh-CN"/>
        </w:rPr>
        <w:t>95.4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教育事业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年末共有各类学校641所，比上年增加32所。其中，幼儿园360所，比上年增加30所；小学173所，比上年减少4所；普通中学70所，比上年减少5所；职业中学3所；特殊教育学校1所；职业技术培训机构34所，比上年增加11所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年实际招生11.54万人，在校学生35.13万人，毕业生10.08万人。其中，幼儿园实际招生3.56万人，在校学生9.43万人，毕业生3.22万人；小学实际招生3.12万人，在校学生16.6万人，毕业生2.27万人；普通中学实际招生2.13万人，在校学生6.22万人，毕业生1.97万人；职业中学实际招生0.14万人，在校学生0.28万人，毕业生0.08万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年末全区教职工3.04万人，同比增长4.1%，其中，专任教师2.07万人，增长3.9%。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市铁一中学白云校区初中部顺利开学，创下当年立项、当年封顶的“白云速度”，培英中学白云新城校区如期动工。新增优质学位1.9万个，为来穗人员随迁子女提供公办学位2484个。获批广州市智慧教育示范区，率先发出全国首批数字身份教育卡。中考成绩居全市前列，高考本科上线率8年连续增长，高优上线率连续2年大幅增长。率先出台乡村教育振兴政策12条，缔结21对城乡姊妹学校，集团化办学覆盖71所乡村学校。白云学子在第45届世界技能大赛喜获佳绩，金牌数接近全国一半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、医疗建设</w:t>
      </w:r>
    </w:p>
    <w:p>
      <w:pPr>
        <w:pStyle w:val="2"/>
        <w:overflowPunct w:val="0"/>
        <w:spacing w:line="584" w:lineRule="exact"/>
        <w:ind w:firstLine="642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年末卫生医疗机构734个，医疗病床位数21391张，工作人员30404人。其中，执业医师7629人，执业助理医师672人，注册护士11662人，药剂人员1169人，检验人员619人。全年门诊诊疗1892.44万人次，入院人数45.98万人，平均每千人口床位数7.70张，年床位使用率为79.40%。</w:t>
      </w:r>
    </w:p>
    <w:p>
      <w:pPr>
        <w:pStyle w:val="2"/>
        <w:overflowPunct w:val="0"/>
        <w:spacing w:line="584" w:lineRule="exact"/>
        <w:ind w:firstLine="642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卫生健康事业加快发展，区人民医院新院区顺利封顶，区第二人民医院升级为三级医院。与广州中医药大学第一附属医院共建中医长廊，区中医医院成为全市首个国家级心脏康复中心认证单位，高分通过全国基层中医药工作先进单位复审。启动智慧医疗综合管理平台建设，疫苗接种实现全程数字化可追溯管理。卫生监督执法、职业病防治等工作走在全市前列，顺利完成国家卫生城市复审迎检工作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、文化和体育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文化事业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年末全区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共有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个国家级重点文物保护单位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个省级文物保护单位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个市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级文物保护单位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505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个尚未核定公布为不可移动文物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年末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区级文化馆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街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文化站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个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文化广场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426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个。全年区内组织各类文艺活动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场次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，送书下乡9万册。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年末图书馆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间，比上年增加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间，总藏书量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69.4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万册，比上年增加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7.4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万册，视听文献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8499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件（套），电子图书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82.68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万册，全年图书借还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120.16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册次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，接待读者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268.78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万人次。有村社图书室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399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个，总藏书量达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32.5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万册，全年图书借还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69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万册，接待读者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166.92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万人次。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FF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年末全区有区级国家综合档案馆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间，收藏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个全宗单位档案，均可用计算机检索，共收藏档案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13.8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万卷。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开展“桃花雅集”“云语者”等各类文化惠民活动100多场。平和大押旧址升级为省级文物保护单位。原创作品《爱的包包》作为全省唯一戏剧作品入围全国群星奖决赛。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体育事业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大力发展体育事业。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全年共建设健身路径72条、足球场2个、水泥篮球场12片，下拨乒乓球台150张。全区体育设施覆盖率高达100%。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年共组织参加省、市组织的群众体育赛事活动3次，举办区级群众体育赛事活动14次，承办国家、省、市群众体育赛事2项次，其中区定向协会承办的2019世界定向排位赛（广州白云钟落潭站）吸引了600多名定向专业运动员和爱好者参加；区龙舟队参加广州市国际龙舟邀请赛取得标准龙男子组冠军等7个奖牌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年举办竞技体育比赛6次，输送体育人才45人。全年白云区籍运动员参加市级以上竞赛获得第一名62人次，第二名40人次，第三名46人次。在广州市青少年锦标赛中，我区894人参加27个比赛项目，获得体育竞技组奖牌205.5枚，其中，金牌69.5枚，银牌65.5枚，铜牌70.5枚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全年体育彩票总销量8.67亿元，居全市之首，其中，乐透票销量3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元，竞猜票销量4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元，即开票销量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0.99亿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元。全区体彩销售实体店447个，筹集公益金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0.29亿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元，为我区群众体育事业打牢坚实基础。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气候和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环保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  <w:lang w:eastAsia="zh-CN"/>
        </w:rPr>
        <w:t>气候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暴雨、洪涝、高温、雷电、大风、干旱等灾害性天气多发，气象灾害对我区经济社会发展影响较大。全年平均气温24℃，较常年偏高1℃，高温日数53天，较常年偏多10.3天，7月18日出现极端最高气温38.8℃，创7月份有纪录以来气温新高；1月2日出现极端最低气温6.7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cyan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入汛早、雨量创新高。年降雨量2455.3毫米，较常年偏多近四成，其中汛期降水量2358.3毫米，较常年同期偏多54%，占全年降水量96%。年暴雨日数11天，较常年偏多4天。全年仅有1个台风“白鹿”给我区带来明显风雨影响。秋冬干燥少雨，森林火险气象等级高，出现重度气象干旱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环境保护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水环境质量4个考核断面中李溪坝保持达到Ⅲ类考核标准；鸦岗、大坳断面平均水质取得历史性突破，水质较同期提升了两个类别，达到Ⅳ类考核标准；石井河口主要污染物指标有好转，白云湖水质同比好转，39条黑臭河涌全部消除黑臭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全年空气质量达标天数为310天，达标比例达84.9%，优于全市平均水平（80.3%），未出现重度污染和严重污染。PM2.5、PM10、二氧化氮、一氧化碳及臭氧年均浓度分别为32微克/立方米、57微克/立方米、43微克/立方米、1.3毫克/立方米、166微克/立方米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持续推进土壤污染防治，完成152家企业的信息收集和风险筛查，完成固废平台3664家企业申报登记；投入2.5亿元建成垃圾分类全链条，569个居住小区实现楼层撤桶与定时定点分类投放全覆盖；建成有机肥替代化肥示范区1.2万亩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/>
          <w:color w:val="auto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全年区域环境噪声平均值57.4分贝，达二类区标准，交通干线噪声平均值69.2分贝。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黑体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、环卫工作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和园林绿化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cyan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环卫工作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提前一年完成“厕所革命”三年任务。新建、改造公厕519座，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年末共有环卫公厕267座、乡村公厕451座，水冲公厕率为100%。市容环卫专用车辆1000台，比上年末增加102台。环卫从业人数10291人，比上年末增加1291人。全年道路清扫保洁面积4070.6万平方米，机械化清扫723公里。生活垃圾清运量169.97万吨，均实施无害化处理。粪便无害化处理量0.7万吨，粪便处理率达100%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  <w:lang w:eastAsia="zh-CN"/>
        </w:rPr>
        <w:t>园林绿化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超额完成白云山“还绿于民”拆违和绿化年度任务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完成6条进山路径优化提升工程，完成同泰路等6条主干道景观提升、11个乡村绿化美化、22个区级容貌示范社区创建，建成河涌碧道100公里、绿道20.3公里、口袋公园26个。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根据广州市公园名录（第一批）我区有公园32个，占地面积421.71公顷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。建成区城市绿化覆盖面积达8492公顷，绿化覆盖率为49.94%。建成区园林绿地面积为7915.23公顷，绿地率为46.47%，其中公共绿地面积为4717.25公顷，人均公共绿地面积为14.7平方米。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黑体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、城市建设和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乡村振兴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</w:rPr>
        <w:t>城市建设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全年有182个“攻城拔寨”重点项目建设高质量紧密推进，累计完成投资814亿元，169个项目开工在建。</w:t>
      </w:r>
    </w:p>
    <w:p>
      <w:pPr>
        <w:pStyle w:val="2"/>
        <w:overflowPunct w:val="0"/>
        <w:spacing w:line="584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城市服务功能大幅跃升。投入近50亿元新建或改造市政主干道35.6公里，空港大道二期等19宗项目建成通车，黄金围大道等46宗项目加快推进。</w:t>
      </w:r>
    </w:p>
    <w:p>
      <w:pPr>
        <w:pStyle w:val="2"/>
        <w:overflowPunct w:val="0"/>
        <w:spacing w:line="584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新建供水管网2398公里，城中村、农村改水工程有序推进。投入16.8亿元建成3项输变电项目和934项配电网项目，供电能力提升8%。</w:t>
      </w:r>
    </w:p>
    <w:p>
      <w:pPr>
        <w:pStyle w:val="2"/>
        <w:overflowPunct w:val="0"/>
        <w:spacing w:line="584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建成5G基站超3000座，总数全市第一。新增覆盖管道燃气用户10万户。白云新城城市资源处理中心建成投入使用。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highlight w:val="none"/>
          <w:lang w:eastAsia="zh-CN"/>
        </w:rPr>
        <w:t>乡村振兴</w:t>
      </w:r>
    </w:p>
    <w:p>
      <w:pPr>
        <w:pStyle w:val="2"/>
        <w:overflowPunct w:val="0"/>
        <w:spacing w:line="584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现代农业产业加快发展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规划建设花卉、蔬菜现代农业产业园，与省科学院、省农科院签订乡村振兴共建协议。新出台21项强农惠农政策，124家企业自愿结对帮扶118个村。出台农村集体产权制度和股份合作改革方案，集体经济组织股份固化率超60%。完善区、镇街、村（社）“三资”管理机构，“三资”平台完成交易5124宗41.2亿元，合同价值提升124%。农村集体经济组织问题合同专项清理行动取得明显成效，清理整改问题合同5.1万份，追回欠收租金6.2亿元。全部行政村达到省定“干净整洁村”标准，80个行政村达到省定“美丽宜居村”标准，10个行政村达到省定“特色精品村”标准，垃圾处理率、污水处理设施覆盖率、公厕覆盖率、道路硬化率实现4个100%，农村人居环境整治成效得到国务院督查组充分肯定。新建改造“四好农村路”50公里，5条上榜市“最美农村公路”示范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，村庄通沥青路、水泥路率达100%，建制村通客车率达100%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注：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本公报所列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年数据均为初步统计数。白云区生产总值、各产业增加值、工业总产值、农业总产值绝对数均按当年价格计算，增长速度按可比口径计算。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规模以上工业统计范围是年主营业务收入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2000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万元及以上的工业法人单位。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限额以上批零住餐统计范围是年主营业务收入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2000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万元及以上的批发业法人单位，年主营业务收入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500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万元及以上的零售业法人单位，以及年主营业务收入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200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万元及以上的住宿和餐饮业法人单位。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bidi="ar"/>
        </w:rPr>
        <w:t>固定资产投资项目的统计范围包括：各种登记注册类型的单位及个体经营户进行的计划总投资500万元及以上的固定资产项目建设（购置）情况，不包括农户投资、军工、国防、人防项目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5.规模以上服务业的统计范围包括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类：（1）年营业收入2000万元及以上服务业法人单位，包括交通运输、仓储和邮政业，信息传输、软件和信息技术服务业，水利、环境和公共设施管理业，卫生。（2）年营业收入1000万元及以上服务业法人单位，包括租赁和商务服务业，科学研究和技术服务业，教育，以及物业管理，房地产中介服务等行业。（3）年营业收入500万元及以上服务业法人单位，包括居民服务、修理和其他服务业，文化、体育和娱乐业，社会工作。</w:t>
      </w:r>
    </w:p>
    <w:p>
      <w:pPr>
        <w:adjustRightInd w:val="0"/>
        <w:snapToGrid w:val="0"/>
        <w:spacing w:line="500" w:lineRule="exac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"/>
        </w:rPr>
        <w:t>资料来源：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本公报中财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收支数据来自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广州市白云区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财政局；金融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、“攻城拔寨”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数据来自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广州市白云区发展和改革局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全社会用电量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数据来自广州白云供电局；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机场客货吞吐量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数据来自广州市统计局；电信、对外经济、科技数据来自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广州市白云区科技工业商务和信息化局；旅游、文化、体育数据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来自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广州市白云区文化广电旅游体育局；白云山数据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来自广州市白云山风景名胜区管理局；帽峰山数据来自广州市帽峰山景区管理处；户籍人口数据来自广州市公安局白云区分局；城乡收支数据来自国家统计局白云调查队；社保数据来自国家税务局广州市白云区税务局；低保、养老数据来自广州市白云区民政局；就业数据来自广州市白云区人力资源和社会保障局；安全生产数据来自广州市白云区应急管理局；教育数据来自广州市白云区教育局；档案数据来自广州市白云区国家档案馆；医疗数据来自广州市白云区卫生健康局；气候数据来自广州市白云区气象局；环保数据来自广州市生态环境局白云区分局；环卫、园林数据来自广州市白云区城市管理和综合执法局；城市建设数据来自广州市白云区住房建设和交通局、广州市白云区水务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广州市白云区科技工业商务和信息化局、广州市白云区城市管理和综合执法局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；乡村振兴数据来自广州市白云区农业农村局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；其他数据均来自广州市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白云区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统计局。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81FA3"/>
    <w:rsid w:val="00AA5E9C"/>
    <w:rsid w:val="00EB5259"/>
    <w:rsid w:val="00FC0A79"/>
    <w:rsid w:val="021648C6"/>
    <w:rsid w:val="025874D1"/>
    <w:rsid w:val="026123F3"/>
    <w:rsid w:val="02834578"/>
    <w:rsid w:val="02A04DB7"/>
    <w:rsid w:val="02CC39B5"/>
    <w:rsid w:val="030C21FB"/>
    <w:rsid w:val="033E5C34"/>
    <w:rsid w:val="034B590B"/>
    <w:rsid w:val="03534E35"/>
    <w:rsid w:val="03732FD3"/>
    <w:rsid w:val="03815AC7"/>
    <w:rsid w:val="038F1672"/>
    <w:rsid w:val="03C5147E"/>
    <w:rsid w:val="03C66F98"/>
    <w:rsid w:val="03CD3D4C"/>
    <w:rsid w:val="03F95AA7"/>
    <w:rsid w:val="04141715"/>
    <w:rsid w:val="041D2832"/>
    <w:rsid w:val="042018CC"/>
    <w:rsid w:val="049B072B"/>
    <w:rsid w:val="05072EC7"/>
    <w:rsid w:val="05341C3D"/>
    <w:rsid w:val="05493624"/>
    <w:rsid w:val="05522F58"/>
    <w:rsid w:val="05681829"/>
    <w:rsid w:val="05855DCB"/>
    <w:rsid w:val="05AF3CAA"/>
    <w:rsid w:val="05C53784"/>
    <w:rsid w:val="05F84DFA"/>
    <w:rsid w:val="062E168E"/>
    <w:rsid w:val="063A1E00"/>
    <w:rsid w:val="063C1624"/>
    <w:rsid w:val="065668D5"/>
    <w:rsid w:val="065F7951"/>
    <w:rsid w:val="067B5DC0"/>
    <w:rsid w:val="067C7D80"/>
    <w:rsid w:val="06805D92"/>
    <w:rsid w:val="069C1316"/>
    <w:rsid w:val="06A17F7A"/>
    <w:rsid w:val="06E170CB"/>
    <w:rsid w:val="072B54AF"/>
    <w:rsid w:val="074A22CB"/>
    <w:rsid w:val="07A81809"/>
    <w:rsid w:val="07C861AC"/>
    <w:rsid w:val="081E3C33"/>
    <w:rsid w:val="084C6993"/>
    <w:rsid w:val="085645AF"/>
    <w:rsid w:val="086738BC"/>
    <w:rsid w:val="08D72D78"/>
    <w:rsid w:val="08EE401D"/>
    <w:rsid w:val="0909197A"/>
    <w:rsid w:val="095675A6"/>
    <w:rsid w:val="096458B4"/>
    <w:rsid w:val="09AE2DB7"/>
    <w:rsid w:val="0A3417D2"/>
    <w:rsid w:val="0A727E1E"/>
    <w:rsid w:val="0A79183C"/>
    <w:rsid w:val="0A8E5CEE"/>
    <w:rsid w:val="0AA25463"/>
    <w:rsid w:val="0AE02425"/>
    <w:rsid w:val="0B362124"/>
    <w:rsid w:val="0B4238F0"/>
    <w:rsid w:val="0B5E6C5C"/>
    <w:rsid w:val="0B7B74F0"/>
    <w:rsid w:val="0B7F42BE"/>
    <w:rsid w:val="0B892A43"/>
    <w:rsid w:val="0B8D02C4"/>
    <w:rsid w:val="0B9419A2"/>
    <w:rsid w:val="0BC42C51"/>
    <w:rsid w:val="0BD04731"/>
    <w:rsid w:val="0C4A0C82"/>
    <w:rsid w:val="0C846378"/>
    <w:rsid w:val="0C886428"/>
    <w:rsid w:val="0CB317C9"/>
    <w:rsid w:val="0CCA3201"/>
    <w:rsid w:val="0CED2504"/>
    <w:rsid w:val="0D296BDA"/>
    <w:rsid w:val="0D2A0DCD"/>
    <w:rsid w:val="0D493A79"/>
    <w:rsid w:val="0D535279"/>
    <w:rsid w:val="0D587ADF"/>
    <w:rsid w:val="0D5F6711"/>
    <w:rsid w:val="0D764494"/>
    <w:rsid w:val="0D8F07AA"/>
    <w:rsid w:val="0D9F3F0C"/>
    <w:rsid w:val="0DB173AB"/>
    <w:rsid w:val="0DC64EDB"/>
    <w:rsid w:val="0DDB4B1C"/>
    <w:rsid w:val="0E395E57"/>
    <w:rsid w:val="0EF95A1A"/>
    <w:rsid w:val="0F8452A1"/>
    <w:rsid w:val="0F9D623C"/>
    <w:rsid w:val="0FBA5F87"/>
    <w:rsid w:val="0FD66195"/>
    <w:rsid w:val="0FDC6874"/>
    <w:rsid w:val="10451126"/>
    <w:rsid w:val="10576E73"/>
    <w:rsid w:val="108D69E6"/>
    <w:rsid w:val="10925D8A"/>
    <w:rsid w:val="1095458B"/>
    <w:rsid w:val="10D1324D"/>
    <w:rsid w:val="10E30330"/>
    <w:rsid w:val="11047EB1"/>
    <w:rsid w:val="110664AA"/>
    <w:rsid w:val="111E79C3"/>
    <w:rsid w:val="11590866"/>
    <w:rsid w:val="1169702B"/>
    <w:rsid w:val="117023E4"/>
    <w:rsid w:val="119C3824"/>
    <w:rsid w:val="11A36272"/>
    <w:rsid w:val="11AA1F16"/>
    <w:rsid w:val="11B14C41"/>
    <w:rsid w:val="11F32A0B"/>
    <w:rsid w:val="1205798E"/>
    <w:rsid w:val="121D274F"/>
    <w:rsid w:val="125A6881"/>
    <w:rsid w:val="12936A77"/>
    <w:rsid w:val="12957BA3"/>
    <w:rsid w:val="12A07319"/>
    <w:rsid w:val="131110CE"/>
    <w:rsid w:val="131C2307"/>
    <w:rsid w:val="137C6697"/>
    <w:rsid w:val="138F77DF"/>
    <w:rsid w:val="13BE6550"/>
    <w:rsid w:val="13D9794A"/>
    <w:rsid w:val="13DF5D5C"/>
    <w:rsid w:val="140839F0"/>
    <w:rsid w:val="14587CCB"/>
    <w:rsid w:val="14A65578"/>
    <w:rsid w:val="14B96A25"/>
    <w:rsid w:val="14C61DD4"/>
    <w:rsid w:val="14CB6B30"/>
    <w:rsid w:val="14CF0139"/>
    <w:rsid w:val="14D435FA"/>
    <w:rsid w:val="14DB53FA"/>
    <w:rsid w:val="14FF2C39"/>
    <w:rsid w:val="151C7AE4"/>
    <w:rsid w:val="15374C00"/>
    <w:rsid w:val="15490E78"/>
    <w:rsid w:val="154C7072"/>
    <w:rsid w:val="154F0E17"/>
    <w:rsid w:val="156E110A"/>
    <w:rsid w:val="15857774"/>
    <w:rsid w:val="1586226D"/>
    <w:rsid w:val="15986239"/>
    <w:rsid w:val="15B40530"/>
    <w:rsid w:val="15CB2A56"/>
    <w:rsid w:val="15D112EC"/>
    <w:rsid w:val="1631268E"/>
    <w:rsid w:val="16EA2CFE"/>
    <w:rsid w:val="1729667E"/>
    <w:rsid w:val="174F529E"/>
    <w:rsid w:val="176E7729"/>
    <w:rsid w:val="17CB5ED3"/>
    <w:rsid w:val="18192684"/>
    <w:rsid w:val="184A79BE"/>
    <w:rsid w:val="185F08A5"/>
    <w:rsid w:val="1880587B"/>
    <w:rsid w:val="18D534CE"/>
    <w:rsid w:val="193755DA"/>
    <w:rsid w:val="19401A3B"/>
    <w:rsid w:val="19595A7D"/>
    <w:rsid w:val="19597F3D"/>
    <w:rsid w:val="19E43B53"/>
    <w:rsid w:val="19FB0A11"/>
    <w:rsid w:val="1A47691F"/>
    <w:rsid w:val="1A5825B5"/>
    <w:rsid w:val="1A597DC3"/>
    <w:rsid w:val="1A717662"/>
    <w:rsid w:val="1AB27D8C"/>
    <w:rsid w:val="1AC33286"/>
    <w:rsid w:val="1AE24AF1"/>
    <w:rsid w:val="1AE62CB6"/>
    <w:rsid w:val="1AE90799"/>
    <w:rsid w:val="1B375B1B"/>
    <w:rsid w:val="1B6D0EC6"/>
    <w:rsid w:val="1B7171D2"/>
    <w:rsid w:val="1B762703"/>
    <w:rsid w:val="1B897A68"/>
    <w:rsid w:val="1BDC7638"/>
    <w:rsid w:val="1BF53D0A"/>
    <w:rsid w:val="1C0B61F1"/>
    <w:rsid w:val="1C0F50B7"/>
    <w:rsid w:val="1C1A1578"/>
    <w:rsid w:val="1C361750"/>
    <w:rsid w:val="1C403988"/>
    <w:rsid w:val="1C5A4749"/>
    <w:rsid w:val="1C7121F8"/>
    <w:rsid w:val="1CE5006F"/>
    <w:rsid w:val="1D075D34"/>
    <w:rsid w:val="1D18022B"/>
    <w:rsid w:val="1D4F541C"/>
    <w:rsid w:val="1DA44046"/>
    <w:rsid w:val="1DA62A90"/>
    <w:rsid w:val="1E2F5D38"/>
    <w:rsid w:val="1E5314B2"/>
    <w:rsid w:val="1E566A20"/>
    <w:rsid w:val="1E7C6D19"/>
    <w:rsid w:val="1EB4154C"/>
    <w:rsid w:val="1EB75657"/>
    <w:rsid w:val="1F052B14"/>
    <w:rsid w:val="1F0B251E"/>
    <w:rsid w:val="1F1A2D30"/>
    <w:rsid w:val="1F2017BB"/>
    <w:rsid w:val="1F394110"/>
    <w:rsid w:val="1F9C083C"/>
    <w:rsid w:val="1FCC1837"/>
    <w:rsid w:val="1FE03F5C"/>
    <w:rsid w:val="1FEB6822"/>
    <w:rsid w:val="200D59B7"/>
    <w:rsid w:val="20263A71"/>
    <w:rsid w:val="205F4090"/>
    <w:rsid w:val="206F4B42"/>
    <w:rsid w:val="210B1EBE"/>
    <w:rsid w:val="210D2D3A"/>
    <w:rsid w:val="21740CC8"/>
    <w:rsid w:val="21D20557"/>
    <w:rsid w:val="21F021FE"/>
    <w:rsid w:val="226A2FF6"/>
    <w:rsid w:val="228F71A8"/>
    <w:rsid w:val="229B3935"/>
    <w:rsid w:val="22D819A3"/>
    <w:rsid w:val="22DB37F0"/>
    <w:rsid w:val="23711E46"/>
    <w:rsid w:val="23880B37"/>
    <w:rsid w:val="23970007"/>
    <w:rsid w:val="23B845DA"/>
    <w:rsid w:val="243F2FD9"/>
    <w:rsid w:val="243F346C"/>
    <w:rsid w:val="24C961DD"/>
    <w:rsid w:val="24D4139F"/>
    <w:rsid w:val="25000BA4"/>
    <w:rsid w:val="252949D2"/>
    <w:rsid w:val="25A0735C"/>
    <w:rsid w:val="25EC7292"/>
    <w:rsid w:val="25ED6CD0"/>
    <w:rsid w:val="25F20E1B"/>
    <w:rsid w:val="26241188"/>
    <w:rsid w:val="262B25B6"/>
    <w:rsid w:val="26305C7B"/>
    <w:rsid w:val="2639592A"/>
    <w:rsid w:val="263D5120"/>
    <w:rsid w:val="263D5FE9"/>
    <w:rsid w:val="26955D26"/>
    <w:rsid w:val="26C36AF8"/>
    <w:rsid w:val="27035C59"/>
    <w:rsid w:val="271840E3"/>
    <w:rsid w:val="27542A35"/>
    <w:rsid w:val="277B62CB"/>
    <w:rsid w:val="277C1236"/>
    <w:rsid w:val="279A1DB1"/>
    <w:rsid w:val="27E77A94"/>
    <w:rsid w:val="28200CEC"/>
    <w:rsid w:val="28873B20"/>
    <w:rsid w:val="28E92E8D"/>
    <w:rsid w:val="28EE4AEC"/>
    <w:rsid w:val="294D129F"/>
    <w:rsid w:val="294E1790"/>
    <w:rsid w:val="29675BA3"/>
    <w:rsid w:val="29BC7DAA"/>
    <w:rsid w:val="29D70360"/>
    <w:rsid w:val="2A02571E"/>
    <w:rsid w:val="2A0448E3"/>
    <w:rsid w:val="2A072CF3"/>
    <w:rsid w:val="2A3F469E"/>
    <w:rsid w:val="2A9078E1"/>
    <w:rsid w:val="2A937993"/>
    <w:rsid w:val="2AC625B5"/>
    <w:rsid w:val="2AD10BDA"/>
    <w:rsid w:val="2AE371D4"/>
    <w:rsid w:val="2B1F7FAC"/>
    <w:rsid w:val="2B926800"/>
    <w:rsid w:val="2BB63F6E"/>
    <w:rsid w:val="2C962118"/>
    <w:rsid w:val="2CA502AD"/>
    <w:rsid w:val="2CC04AAD"/>
    <w:rsid w:val="2CEC5C43"/>
    <w:rsid w:val="2CF8198A"/>
    <w:rsid w:val="2D2506F7"/>
    <w:rsid w:val="2E863C5D"/>
    <w:rsid w:val="2EB67532"/>
    <w:rsid w:val="2F1228BF"/>
    <w:rsid w:val="2F2936C8"/>
    <w:rsid w:val="2F2B6334"/>
    <w:rsid w:val="2F360BF9"/>
    <w:rsid w:val="2F776E57"/>
    <w:rsid w:val="2F8D242E"/>
    <w:rsid w:val="2FCF2BD3"/>
    <w:rsid w:val="30155722"/>
    <w:rsid w:val="30394CBB"/>
    <w:rsid w:val="308D30C4"/>
    <w:rsid w:val="308E600C"/>
    <w:rsid w:val="30E958C2"/>
    <w:rsid w:val="311A62E7"/>
    <w:rsid w:val="312D2A09"/>
    <w:rsid w:val="31403C68"/>
    <w:rsid w:val="315655B3"/>
    <w:rsid w:val="316410C6"/>
    <w:rsid w:val="31925552"/>
    <w:rsid w:val="31DF7B87"/>
    <w:rsid w:val="31E23415"/>
    <w:rsid w:val="31E762E3"/>
    <w:rsid w:val="32076914"/>
    <w:rsid w:val="322B116D"/>
    <w:rsid w:val="326D4279"/>
    <w:rsid w:val="328957A0"/>
    <w:rsid w:val="32AA5ADD"/>
    <w:rsid w:val="32D22EAB"/>
    <w:rsid w:val="32EB0535"/>
    <w:rsid w:val="33001277"/>
    <w:rsid w:val="33D20335"/>
    <w:rsid w:val="33D304DF"/>
    <w:rsid w:val="33E90D28"/>
    <w:rsid w:val="33F55FAC"/>
    <w:rsid w:val="340E7E52"/>
    <w:rsid w:val="341E2953"/>
    <w:rsid w:val="342C22DA"/>
    <w:rsid w:val="34707565"/>
    <w:rsid w:val="34980991"/>
    <w:rsid w:val="34A0641B"/>
    <w:rsid w:val="353F6DA5"/>
    <w:rsid w:val="35AE5AC0"/>
    <w:rsid w:val="35F44906"/>
    <w:rsid w:val="36637D8C"/>
    <w:rsid w:val="367632A1"/>
    <w:rsid w:val="36921829"/>
    <w:rsid w:val="36F90B2F"/>
    <w:rsid w:val="36FB3BD4"/>
    <w:rsid w:val="371729EC"/>
    <w:rsid w:val="373F338D"/>
    <w:rsid w:val="37614469"/>
    <w:rsid w:val="378E133E"/>
    <w:rsid w:val="378F2530"/>
    <w:rsid w:val="37930C88"/>
    <w:rsid w:val="37A63ABD"/>
    <w:rsid w:val="37AF444B"/>
    <w:rsid w:val="382B0646"/>
    <w:rsid w:val="386160CB"/>
    <w:rsid w:val="389C4C57"/>
    <w:rsid w:val="38BA7953"/>
    <w:rsid w:val="38D96683"/>
    <w:rsid w:val="39BC32DC"/>
    <w:rsid w:val="3A797A51"/>
    <w:rsid w:val="3A7D2EEB"/>
    <w:rsid w:val="3A9A2AE7"/>
    <w:rsid w:val="3ADE41FF"/>
    <w:rsid w:val="3AF57200"/>
    <w:rsid w:val="3B151B94"/>
    <w:rsid w:val="3B285272"/>
    <w:rsid w:val="3B44166F"/>
    <w:rsid w:val="3B493B2F"/>
    <w:rsid w:val="3B4F4F0A"/>
    <w:rsid w:val="3BA26D91"/>
    <w:rsid w:val="3BBE4571"/>
    <w:rsid w:val="3BD859AC"/>
    <w:rsid w:val="3BFF5F6E"/>
    <w:rsid w:val="3C1A6843"/>
    <w:rsid w:val="3C415629"/>
    <w:rsid w:val="3C693C35"/>
    <w:rsid w:val="3C7C04AE"/>
    <w:rsid w:val="3C8C62D0"/>
    <w:rsid w:val="3C9C4BB5"/>
    <w:rsid w:val="3D1A0133"/>
    <w:rsid w:val="3D413446"/>
    <w:rsid w:val="3E17640D"/>
    <w:rsid w:val="3E2622BC"/>
    <w:rsid w:val="3E2B2E72"/>
    <w:rsid w:val="3E796ECC"/>
    <w:rsid w:val="3EAB71C3"/>
    <w:rsid w:val="3EB75612"/>
    <w:rsid w:val="3EDE2FF8"/>
    <w:rsid w:val="3EEB027F"/>
    <w:rsid w:val="3EF845FB"/>
    <w:rsid w:val="3F420743"/>
    <w:rsid w:val="3F4A76DE"/>
    <w:rsid w:val="3FBD461C"/>
    <w:rsid w:val="3FC31A7F"/>
    <w:rsid w:val="3FD21557"/>
    <w:rsid w:val="3FE04125"/>
    <w:rsid w:val="405B2FBC"/>
    <w:rsid w:val="40D1596E"/>
    <w:rsid w:val="41375139"/>
    <w:rsid w:val="414718B2"/>
    <w:rsid w:val="414724C2"/>
    <w:rsid w:val="41BD665F"/>
    <w:rsid w:val="42100AB5"/>
    <w:rsid w:val="42270199"/>
    <w:rsid w:val="425042C9"/>
    <w:rsid w:val="429B79DE"/>
    <w:rsid w:val="42A157AB"/>
    <w:rsid w:val="42C47F00"/>
    <w:rsid w:val="42C6516A"/>
    <w:rsid w:val="42CF7C39"/>
    <w:rsid w:val="43654EEF"/>
    <w:rsid w:val="436B1D40"/>
    <w:rsid w:val="439A6DA5"/>
    <w:rsid w:val="43A52FE8"/>
    <w:rsid w:val="43C0153D"/>
    <w:rsid w:val="440622DB"/>
    <w:rsid w:val="445F4459"/>
    <w:rsid w:val="44804519"/>
    <w:rsid w:val="448429DC"/>
    <w:rsid w:val="44D05102"/>
    <w:rsid w:val="452A19FA"/>
    <w:rsid w:val="45393D0D"/>
    <w:rsid w:val="456876CC"/>
    <w:rsid w:val="45A574F5"/>
    <w:rsid w:val="45B708D9"/>
    <w:rsid w:val="45D36601"/>
    <w:rsid w:val="45D83298"/>
    <w:rsid w:val="45F33BE8"/>
    <w:rsid w:val="46097B66"/>
    <w:rsid w:val="467A662F"/>
    <w:rsid w:val="467B5B7B"/>
    <w:rsid w:val="469036D0"/>
    <w:rsid w:val="469307EF"/>
    <w:rsid w:val="46B20D04"/>
    <w:rsid w:val="46E8119B"/>
    <w:rsid w:val="46F43D61"/>
    <w:rsid w:val="4727263D"/>
    <w:rsid w:val="472817D7"/>
    <w:rsid w:val="4746694E"/>
    <w:rsid w:val="474C3899"/>
    <w:rsid w:val="47520ED3"/>
    <w:rsid w:val="47524B3E"/>
    <w:rsid w:val="47A82EF5"/>
    <w:rsid w:val="47B1285C"/>
    <w:rsid w:val="47CC0597"/>
    <w:rsid w:val="47D23523"/>
    <w:rsid w:val="47F263CA"/>
    <w:rsid w:val="48243BDE"/>
    <w:rsid w:val="48452562"/>
    <w:rsid w:val="48AB3586"/>
    <w:rsid w:val="48B02193"/>
    <w:rsid w:val="48BA485E"/>
    <w:rsid w:val="48C600D7"/>
    <w:rsid w:val="48D06260"/>
    <w:rsid w:val="48D11D67"/>
    <w:rsid w:val="48DC0FEA"/>
    <w:rsid w:val="48F96C83"/>
    <w:rsid w:val="49124EEB"/>
    <w:rsid w:val="491B7FF5"/>
    <w:rsid w:val="49256B9E"/>
    <w:rsid w:val="49782F22"/>
    <w:rsid w:val="499F3F40"/>
    <w:rsid w:val="49ED1CCF"/>
    <w:rsid w:val="4A25725D"/>
    <w:rsid w:val="4A481365"/>
    <w:rsid w:val="4A6E776B"/>
    <w:rsid w:val="4AA964D9"/>
    <w:rsid w:val="4AB2425C"/>
    <w:rsid w:val="4ACD4B23"/>
    <w:rsid w:val="4ADD4629"/>
    <w:rsid w:val="4AE7006F"/>
    <w:rsid w:val="4B27666F"/>
    <w:rsid w:val="4B620D71"/>
    <w:rsid w:val="4B986059"/>
    <w:rsid w:val="4BD62F75"/>
    <w:rsid w:val="4BF41B2C"/>
    <w:rsid w:val="4C6A2CFB"/>
    <w:rsid w:val="4CE74A11"/>
    <w:rsid w:val="4CEF04E6"/>
    <w:rsid w:val="4CF13C12"/>
    <w:rsid w:val="4D372F7D"/>
    <w:rsid w:val="4DA04A57"/>
    <w:rsid w:val="4DD36CF7"/>
    <w:rsid w:val="4DE25D9A"/>
    <w:rsid w:val="4E0911C6"/>
    <w:rsid w:val="4EBA79FE"/>
    <w:rsid w:val="4EE2061F"/>
    <w:rsid w:val="4F416CA8"/>
    <w:rsid w:val="4F426402"/>
    <w:rsid w:val="4FE23103"/>
    <w:rsid w:val="502539C6"/>
    <w:rsid w:val="50763256"/>
    <w:rsid w:val="50A81827"/>
    <w:rsid w:val="511C0283"/>
    <w:rsid w:val="513E01D6"/>
    <w:rsid w:val="51506D38"/>
    <w:rsid w:val="51523D56"/>
    <w:rsid w:val="515A7278"/>
    <w:rsid w:val="517414FF"/>
    <w:rsid w:val="518919A1"/>
    <w:rsid w:val="51892D1E"/>
    <w:rsid w:val="51A76752"/>
    <w:rsid w:val="51A808EA"/>
    <w:rsid w:val="51C66E0C"/>
    <w:rsid w:val="5224613F"/>
    <w:rsid w:val="523D0519"/>
    <w:rsid w:val="527F781C"/>
    <w:rsid w:val="52C25D1B"/>
    <w:rsid w:val="52E33DCA"/>
    <w:rsid w:val="530C3A01"/>
    <w:rsid w:val="533954F2"/>
    <w:rsid w:val="5351782A"/>
    <w:rsid w:val="53D31B4F"/>
    <w:rsid w:val="540443A5"/>
    <w:rsid w:val="542A24D3"/>
    <w:rsid w:val="54522EF8"/>
    <w:rsid w:val="5498681A"/>
    <w:rsid w:val="54D76EB8"/>
    <w:rsid w:val="54ED4507"/>
    <w:rsid w:val="550435ED"/>
    <w:rsid w:val="552A723C"/>
    <w:rsid w:val="55701EB8"/>
    <w:rsid w:val="55705DB2"/>
    <w:rsid w:val="55E437D5"/>
    <w:rsid w:val="561A1138"/>
    <w:rsid w:val="562D0C9F"/>
    <w:rsid w:val="56761543"/>
    <w:rsid w:val="56833C91"/>
    <w:rsid w:val="56B22952"/>
    <w:rsid w:val="56C112CF"/>
    <w:rsid w:val="56C13E7A"/>
    <w:rsid w:val="56E90629"/>
    <w:rsid w:val="56EC74E0"/>
    <w:rsid w:val="56FE3DA5"/>
    <w:rsid w:val="57260256"/>
    <w:rsid w:val="576E3FB1"/>
    <w:rsid w:val="5783604B"/>
    <w:rsid w:val="57911350"/>
    <w:rsid w:val="58083031"/>
    <w:rsid w:val="589F2ED8"/>
    <w:rsid w:val="593D1B42"/>
    <w:rsid w:val="594121D0"/>
    <w:rsid w:val="59527E38"/>
    <w:rsid w:val="596C234C"/>
    <w:rsid w:val="599B7FA1"/>
    <w:rsid w:val="59A24ABC"/>
    <w:rsid w:val="59D915E9"/>
    <w:rsid w:val="59F77A6B"/>
    <w:rsid w:val="5A0F199D"/>
    <w:rsid w:val="5A0F4AEC"/>
    <w:rsid w:val="5ACE2649"/>
    <w:rsid w:val="5AE5211B"/>
    <w:rsid w:val="5B1737D0"/>
    <w:rsid w:val="5B1E3EEF"/>
    <w:rsid w:val="5B27352F"/>
    <w:rsid w:val="5B2A229E"/>
    <w:rsid w:val="5B6F3FF3"/>
    <w:rsid w:val="5B9B6619"/>
    <w:rsid w:val="5BA23E93"/>
    <w:rsid w:val="5BAD29D9"/>
    <w:rsid w:val="5C143727"/>
    <w:rsid w:val="5C2C3109"/>
    <w:rsid w:val="5C444A99"/>
    <w:rsid w:val="5CFC5D00"/>
    <w:rsid w:val="5CFE01C5"/>
    <w:rsid w:val="5D252407"/>
    <w:rsid w:val="5D266AE8"/>
    <w:rsid w:val="5D565232"/>
    <w:rsid w:val="5D5A754B"/>
    <w:rsid w:val="5DA574C3"/>
    <w:rsid w:val="5DC227BB"/>
    <w:rsid w:val="5DD42DE5"/>
    <w:rsid w:val="5DDD7DFF"/>
    <w:rsid w:val="5E3674FB"/>
    <w:rsid w:val="5EA5376C"/>
    <w:rsid w:val="5EBA7E66"/>
    <w:rsid w:val="5EEC2FDA"/>
    <w:rsid w:val="5EFA1045"/>
    <w:rsid w:val="5F04032A"/>
    <w:rsid w:val="5F1624C9"/>
    <w:rsid w:val="5F3C7B52"/>
    <w:rsid w:val="5F650680"/>
    <w:rsid w:val="5F9B1C53"/>
    <w:rsid w:val="5FA4686A"/>
    <w:rsid w:val="5FD3748C"/>
    <w:rsid w:val="5FD560AF"/>
    <w:rsid w:val="605C105E"/>
    <w:rsid w:val="60AF0B67"/>
    <w:rsid w:val="60B21663"/>
    <w:rsid w:val="60EA4C63"/>
    <w:rsid w:val="610E5734"/>
    <w:rsid w:val="61233B3E"/>
    <w:rsid w:val="61340FB0"/>
    <w:rsid w:val="615A7D31"/>
    <w:rsid w:val="619111FD"/>
    <w:rsid w:val="61A4628D"/>
    <w:rsid w:val="62587D25"/>
    <w:rsid w:val="62A4720E"/>
    <w:rsid w:val="62EE2ADA"/>
    <w:rsid w:val="62F8475F"/>
    <w:rsid w:val="630E14D4"/>
    <w:rsid w:val="63316709"/>
    <w:rsid w:val="63987686"/>
    <w:rsid w:val="63B026D6"/>
    <w:rsid w:val="63D6642D"/>
    <w:rsid w:val="64B879CF"/>
    <w:rsid w:val="64C419FA"/>
    <w:rsid w:val="64C56EE7"/>
    <w:rsid w:val="64D50257"/>
    <w:rsid w:val="651D2B0E"/>
    <w:rsid w:val="654F374C"/>
    <w:rsid w:val="65610287"/>
    <w:rsid w:val="65775A76"/>
    <w:rsid w:val="658A23DA"/>
    <w:rsid w:val="65941E1B"/>
    <w:rsid w:val="65A91B1E"/>
    <w:rsid w:val="65D16A29"/>
    <w:rsid w:val="65EE3A53"/>
    <w:rsid w:val="6626383C"/>
    <w:rsid w:val="66554A12"/>
    <w:rsid w:val="676C523C"/>
    <w:rsid w:val="67C413BB"/>
    <w:rsid w:val="6815189F"/>
    <w:rsid w:val="68464633"/>
    <w:rsid w:val="684750AA"/>
    <w:rsid w:val="68FE1DAC"/>
    <w:rsid w:val="694943AD"/>
    <w:rsid w:val="695F5BFD"/>
    <w:rsid w:val="69A1718C"/>
    <w:rsid w:val="69B13643"/>
    <w:rsid w:val="69EA7510"/>
    <w:rsid w:val="6A050B73"/>
    <w:rsid w:val="6A2C460E"/>
    <w:rsid w:val="6A6D10AC"/>
    <w:rsid w:val="6A8C5AE3"/>
    <w:rsid w:val="6AD3438A"/>
    <w:rsid w:val="6ADC2259"/>
    <w:rsid w:val="6AFD105D"/>
    <w:rsid w:val="6B0F33A4"/>
    <w:rsid w:val="6B2334F7"/>
    <w:rsid w:val="6BE12D32"/>
    <w:rsid w:val="6C0C3221"/>
    <w:rsid w:val="6C28388F"/>
    <w:rsid w:val="6C4C4B9F"/>
    <w:rsid w:val="6C4F2E94"/>
    <w:rsid w:val="6C510949"/>
    <w:rsid w:val="6C5837E4"/>
    <w:rsid w:val="6CA741A8"/>
    <w:rsid w:val="6CB224EE"/>
    <w:rsid w:val="6CD33547"/>
    <w:rsid w:val="6CFE1D9A"/>
    <w:rsid w:val="6D313313"/>
    <w:rsid w:val="6D3F4BAB"/>
    <w:rsid w:val="6D44144E"/>
    <w:rsid w:val="6D5A69D9"/>
    <w:rsid w:val="6D63051E"/>
    <w:rsid w:val="6D7505F1"/>
    <w:rsid w:val="6DC00A6D"/>
    <w:rsid w:val="6DC533AB"/>
    <w:rsid w:val="6DC84917"/>
    <w:rsid w:val="6DF71126"/>
    <w:rsid w:val="6E005882"/>
    <w:rsid w:val="6E07145E"/>
    <w:rsid w:val="6E2A5DD9"/>
    <w:rsid w:val="6E544F12"/>
    <w:rsid w:val="6E5E11CD"/>
    <w:rsid w:val="6E63491D"/>
    <w:rsid w:val="6EBD07BB"/>
    <w:rsid w:val="6EE12F9E"/>
    <w:rsid w:val="6EF271F7"/>
    <w:rsid w:val="6F6957CB"/>
    <w:rsid w:val="6F9008B8"/>
    <w:rsid w:val="6FD77B7A"/>
    <w:rsid w:val="70004090"/>
    <w:rsid w:val="701445E2"/>
    <w:rsid w:val="7066073E"/>
    <w:rsid w:val="709D6917"/>
    <w:rsid w:val="70C63226"/>
    <w:rsid w:val="70E8106D"/>
    <w:rsid w:val="71116C02"/>
    <w:rsid w:val="7193414A"/>
    <w:rsid w:val="72302D03"/>
    <w:rsid w:val="72581EC4"/>
    <w:rsid w:val="725B7B89"/>
    <w:rsid w:val="725E6C44"/>
    <w:rsid w:val="7267765C"/>
    <w:rsid w:val="727817B1"/>
    <w:rsid w:val="72EC5C87"/>
    <w:rsid w:val="73141040"/>
    <w:rsid w:val="73536E20"/>
    <w:rsid w:val="73BD03FC"/>
    <w:rsid w:val="741754F1"/>
    <w:rsid w:val="741C6359"/>
    <w:rsid w:val="741D7A52"/>
    <w:rsid w:val="744A4B06"/>
    <w:rsid w:val="746E0E26"/>
    <w:rsid w:val="74893EEA"/>
    <w:rsid w:val="74965F8B"/>
    <w:rsid w:val="74BF1D49"/>
    <w:rsid w:val="74CE0CFF"/>
    <w:rsid w:val="74E52D24"/>
    <w:rsid w:val="74E628D2"/>
    <w:rsid w:val="750A3A0D"/>
    <w:rsid w:val="759B1CEA"/>
    <w:rsid w:val="75BF313D"/>
    <w:rsid w:val="75DF0A8B"/>
    <w:rsid w:val="75E261B9"/>
    <w:rsid w:val="75E8527D"/>
    <w:rsid w:val="76377423"/>
    <w:rsid w:val="76422379"/>
    <w:rsid w:val="764900E1"/>
    <w:rsid w:val="768709B8"/>
    <w:rsid w:val="769F797A"/>
    <w:rsid w:val="76E61B1F"/>
    <w:rsid w:val="76F149F7"/>
    <w:rsid w:val="76FC0436"/>
    <w:rsid w:val="77397005"/>
    <w:rsid w:val="77B234A9"/>
    <w:rsid w:val="77B722BA"/>
    <w:rsid w:val="77DB26A9"/>
    <w:rsid w:val="77EA7320"/>
    <w:rsid w:val="781A16BF"/>
    <w:rsid w:val="784B5D6D"/>
    <w:rsid w:val="78572A46"/>
    <w:rsid w:val="78732523"/>
    <w:rsid w:val="78B65CD2"/>
    <w:rsid w:val="78C34ADE"/>
    <w:rsid w:val="78C80CF9"/>
    <w:rsid w:val="78FC6814"/>
    <w:rsid w:val="78FE5626"/>
    <w:rsid w:val="79026BF4"/>
    <w:rsid w:val="7912639F"/>
    <w:rsid w:val="79193DC2"/>
    <w:rsid w:val="7933268B"/>
    <w:rsid w:val="795567AB"/>
    <w:rsid w:val="795B7485"/>
    <w:rsid w:val="79F11564"/>
    <w:rsid w:val="79F7587D"/>
    <w:rsid w:val="7A151EE3"/>
    <w:rsid w:val="7A342D86"/>
    <w:rsid w:val="7A3B4BB0"/>
    <w:rsid w:val="7A4A6D5B"/>
    <w:rsid w:val="7A5B6D4F"/>
    <w:rsid w:val="7A856DBC"/>
    <w:rsid w:val="7A94510D"/>
    <w:rsid w:val="7AB55AD4"/>
    <w:rsid w:val="7B4372C2"/>
    <w:rsid w:val="7B5D3752"/>
    <w:rsid w:val="7B5F7894"/>
    <w:rsid w:val="7B636BE0"/>
    <w:rsid w:val="7B8347E1"/>
    <w:rsid w:val="7B913466"/>
    <w:rsid w:val="7BAA419F"/>
    <w:rsid w:val="7C211D46"/>
    <w:rsid w:val="7C317DBC"/>
    <w:rsid w:val="7C5E468B"/>
    <w:rsid w:val="7C90764A"/>
    <w:rsid w:val="7CDB0906"/>
    <w:rsid w:val="7D4B4862"/>
    <w:rsid w:val="7D8E7570"/>
    <w:rsid w:val="7DCE07E3"/>
    <w:rsid w:val="7E0C4221"/>
    <w:rsid w:val="7E335AC5"/>
    <w:rsid w:val="7E8A2903"/>
    <w:rsid w:val="7E931FF7"/>
    <w:rsid w:val="7E9E662B"/>
    <w:rsid w:val="7EC530C8"/>
    <w:rsid w:val="7EE338FA"/>
    <w:rsid w:val="7F0727CE"/>
    <w:rsid w:val="7F171CB7"/>
    <w:rsid w:val="7F1B1A18"/>
    <w:rsid w:val="7F270B52"/>
    <w:rsid w:val="7F5133E9"/>
    <w:rsid w:val="7F5E65F0"/>
    <w:rsid w:val="7F8D7AEE"/>
    <w:rsid w:val="7FB51BB5"/>
    <w:rsid w:val="7FB76551"/>
    <w:rsid w:val="7FCD639E"/>
    <w:rsid w:val="7FF15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cs="Times New Roman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12304;&#25913;&#31295;&#12305;01357%202019&#24180;&#24191;&#24030;&#24066;&#30333;&#20113;&#21306;&#22269;&#27665;&#32463;&#27982;&#21644;&#31038;&#20250;&#21457;&#23637;&#32479;&#35745;&#20844;&#25253;&#22270;&#34920;&#21450;&#30456;&#20851;&#36164;&#26009;\2019&#20844;&#25253;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&#12304;&#25913;&#31295;&#12305;01357%202019&#24180;&#24191;&#24030;&#24066;&#30333;&#20113;&#21306;&#22269;&#27665;&#32463;&#27982;&#21644;&#31038;&#20250;&#21457;&#23637;&#32479;&#35745;&#20844;&#25253;&#22270;&#34920;&#21450;&#30456;&#20851;&#36164;&#26009;\2019&#20844;&#25253;&#22270;&#3492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Administrator\Desktop\&#12304;&#25913;&#31295;&#12305;01357%202019&#24180;&#24191;&#24030;&#24066;&#30333;&#20113;&#21306;&#22269;&#27665;&#32463;&#27982;&#21644;&#31038;&#20250;&#21457;&#23637;&#32479;&#35745;&#20844;&#25253;&#22270;&#34920;&#21450;&#30456;&#20851;&#36164;&#26009;\2019&#20844;&#25253;&#22270;&#3492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dministrator\Desktop\&#12304;&#25913;&#31295;&#12305;01357%202019&#24180;&#24191;&#24030;&#24066;&#30333;&#20113;&#21306;&#22269;&#27665;&#32463;&#27982;&#21644;&#31038;&#20250;&#21457;&#23637;&#32479;&#35745;&#20844;&#25253;&#22270;&#34920;&#21450;&#30456;&#20851;&#36164;&#26009;\2019&#20844;&#25253;&#22270;&#3492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dministrator\Desktop\&#12304;&#36861;&#32534;&#36753;&#35201;&#21021;&#31295;&#21518;&#33258;&#26597;&#20877;&#25918;&#23616;&#24449;&#27714;&#24847;&#35265;&#21518;&#21576;&#25209;&#12305;01357%202019&#24180;&#24191;&#24030;&#24066;&#30333;&#20113;&#21306;&#22269;&#27665;&#32463;&#27982;&#21644;&#31038;&#20250;&#21457;&#23637;&#32479;&#35745;&#20844;&#25253;&#22270;&#34920;&#21450;&#30456;&#20851;&#36164;&#26009;\2019&#20844;&#25253;&#22270;&#34920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12304;&#25913;&#31295;&#12305;01357%202019&#24180;&#24191;&#24030;&#24066;&#30333;&#20113;&#21306;&#22269;&#27665;&#32463;&#27982;&#21644;&#31038;&#20250;&#21457;&#23637;&#32479;&#35745;&#20844;&#25253;&#22270;&#34920;&#21450;&#30456;&#20851;&#36164;&#26009;\2019&#20844;&#25253;&#22270;&#34920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Administrator\Desktop\&#12304;&#25913;&#31295;&#12305;01357%202019&#24180;&#24191;&#24030;&#24066;&#30333;&#20113;&#21306;&#22269;&#27665;&#32463;&#27982;&#21644;&#31038;&#20250;&#21457;&#23637;&#32479;&#35745;&#20844;&#25253;&#22270;&#34920;&#21450;&#30456;&#20851;&#36164;&#26009;\2019&#20844;&#25253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400" b="1" i="0" u="none" strike="noStrike" baseline="0">
                <a:solidFill>
                  <a:schemeClr val="accent1">
                    <a:lumMod val="75000"/>
                  </a:schemeClr>
                </a:solidFill>
                <a:latin typeface="+mn-ea"/>
                <a:ea typeface="+mn-ea"/>
                <a:cs typeface="+mn-ea"/>
              </a:rPr>
              <a:t>201</a:t>
            </a:r>
            <a:r>
              <a:rPr lang="en-US" altLang="zh-CN" sz="1400" b="1" i="0" u="none" strike="noStrike" baseline="0">
                <a:solidFill>
                  <a:schemeClr val="accent1">
                    <a:lumMod val="75000"/>
                  </a:schemeClr>
                </a:solidFill>
                <a:latin typeface="+mn-ea"/>
                <a:ea typeface="+mn-ea"/>
                <a:cs typeface="+mn-ea"/>
              </a:rPr>
              <a:t>9</a:t>
            </a:r>
            <a:r>
              <a:rPr sz="1400" b="1" i="0" u="none" strike="noStrike" baseline="0">
                <a:solidFill>
                  <a:schemeClr val="accent1">
                    <a:lumMod val="75000"/>
                  </a:schemeClr>
                </a:solidFill>
                <a:latin typeface="+mn-ea"/>
                <a:ea typeface="+mn-ea"/>
                <a:cs typeface="+mn-ea"/>
              </a:rPr>
              <a:t>年地区生产总值三次产业比重</a:t>
            </a:r>
            <a:endParaRPr sz="1400" b="1" i="0" u="none" strike="noStrike" baseline="0">
              <a:solidFill>
                <a:schemeClr val="accent1">
                  <a:lumMod val="75000"/>
                </a:schemeClr>
              </a:solidFill>
              <a:latin typeface="+mn-ea"/>
              <a:ea typeface="+mn-ea"/>
              <a:cs typeface="+mn-ea"/>
            </a:endParaRPr>
          </a:p>
        </c:rich>
      </c:tx>
      <c:layout>
        <c:manualLayout>
          <c:xMode val="edge"/>
          <c:yMode val="edge"/>
          <c:x val="0.189860912467086"/>
          <c:y val="0.063276836158192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71605484032367"/>
          <c:y val="0.36271246476507"/>
          <c:w val="0.456791041327163"/>
          <c:h val="0.298305578498375"/>
        </c:manualLayout>
      </c:layout>
      <c:pieChart>
        <c:varyColors val="1"/>
        <c:ser>
          <c:idx val="0"/>
          <c:order val="0"/>
          <c:tx>
            <c:strRef>
              <c:f>'D:\[2019-08-29]统计局\已完成\公报工作\00699 2014年白云区国民经济和社会发展统计公报图表及相关资料\[2014年广州市白云区国民经济和社会发展统计公报统计图.xls]Sheet1'!$B$27</c:f>
              <c:strCache>
                <c:ptCount val="1"/>
                <c:pt idx="0">
                  <c:v>比重</c:v>
                </c:pt>
              </c:strCache>
            </c:strRef>
          </c:tx>
          <c:spPr/>
          <c:explosion val="0"/>
          <c:dPt>
            <c:idx val="0"/>
            <c:bubble3D val="0"/>
            <c:explosion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6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rgbClr val="000000">
                            <a:alpha val="100000"/>
                          </a:srgbClr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defRPr>
                    </a:pPr>
                    <a:r>
                      <a:t>第一产业 1</a:t>
                    </a:r>
                    <a:r>
                      <a:rPr lang="en-US" altLang="zh-CN"/>
                      <a:t>.</a:t>
                    </a:r>
                    <a:r>
                      <a:t>4</a:t>
                    </a:r>
                    <a:r>
                      <a:rPr lang="en-US" altLang="zh-CN"/>
                      <a:t>%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rgbClr val="000000">
                            <a:alpha val="100000"/>
                          </a:srgbClr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defRPr>
                    </a:pPr>
                    <a:r>
                      <a:t>第二产业 20</a:t>
                    </a:r>
                    <a:r>
                      <a:rPr lang="en-US" altLang="zh-CN"/>
                      <a:t>.</a:t>
                    </a:r>
                    <a:r>
                      <a:t>1</a:t>
                    </a:r>
                    <a:r>
                      <a:rPr lang="en-US" altLang="zh-CN"/>
                      <a:t>%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rgbClr val="000000">
                            <a:alpha val="100000"/>
                          </a:srgbClr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defRPr>
                    </a:pPr>
                    <a:r>
                      <a:t>第三产业 78</a:t>
                    </a:r>
                    <a:r>
                      <a:rPr lang="en-US" altLang="zh-CN"/>
                      <a:t>.</a:t>
                    </a:r>
                    <a:r>
                      <a:t>5</a:t>
                    </a:r>
                    <a:r>
                      <a:rPr lang="en-US" altLang="zh-CN"/>
                      <a:t>%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'D:\[2019-08-29]统计局\已完成\公报工作\00699 2014年白云区国民经济和社会发展统计公报图表及相关资料\[2014年广州市白云区国民经济和社会发展统计公报统计图.xls]Sheet1'!$A$28:$A$30</c:f>
              <c:strCache>
                <c:ptCount val="3"/>
                <c:pt idx="0">
                  <c:v>第一产业</c:v>
                </c:pt>
                <c:pt idx="1">
                  <c:v>第二产业</c:v>
                </c:pt>
                <c:pt idx="2">
                  <c:v>第三产业</c:v>
                </c:pt>
              </c:strCache>
            </c:strRef>
          </c:cat>
          <c:val>
            <c:numRef>
              <c:f>'D:\[2019-08-29]统计局\已完成\公报工作\00699 2014年白云区国民经济和社会发展统计公报图表及相关资料\[2014年广州市白云区国民经济和社会发展统计公报统计图.xls]Sheet1'!$B$28:$B$30</c:f>
              <c:numCache>
                <c:formatCode>General</c:formatCode>
                <c:ptCount val="3"/>
                <c:pt idx="0">
                  <c:v>0.014</c:v>
                </c:pt>
                <c:pt idx="1">
                  <c:v>0.201</c:v>
                </c:pt>
                <c:pt idx="2">
                  <c:v>0.785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246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2510720110603"/>
          <c:y val="0.894916677788158"/>
          <c:w val="0.534980503980212"/>
          <c:h val="0.0813559322033899"/>
        </c:manualLayout>
      </c:layout>
      <c:overlay val="0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zero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  <a:effectLst/>
  </c:spPr>
  <c:txPr>
    <a:bodyPr rot="0" wrap="square" anchor="ctr" anchorCtr="1"/>
    <a:lstStyle/>
    <a:p>
      <a:pPr>
        <a:defRPr lang="zh-CN" sz="12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chemeClr val="accent1">
                    <a:lumMod val="75000"/>
                  </a:schemeClr>
                </a:solidFill>
              </a:rPr>
              <a:t>税收总额</a:t>
            </a:r>
            <a:endParaRPr b="1">
              <a:solidFill>
                <a:schemeClr val="accent1">
                  <a:lumMod val="75000"/>
                </a:schemeClr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'[2019公报图表.xlsx]Sheet1 (4)'!$A$3</c:f>
              <c:strCache>
                <c:ptCount val="1"/>
                <c:pt idx="0">
                  <c:v>税收总额（亿元）</c:v>
                </c:pt>
              </c:strCache>
            </c:strRef>
          </c:tx>
          <c:spPr>
            <a:solidFill>
              <a:srgbClr val="FF7C8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'[2019公报图表.xlsx]Sheet1 (4)'!$B$2:$F$2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'[2019公报图表.xlsx]Sheet1 (4)'!$B$3:$F$3</c:f>
              <c:numCache>
                <c:formatCode>0.00_ </c:formatCode>
                <c:ptCount val="5"/>
                <c:pt idx="0">
                  <c:v>185.58</c:v>
                </c:pt>
                <c:pt idx="1">
                  <c:v>193.12</c:v>
                </c:pt>
                <c:pt idx="2">
                  <c:v>217.45</c:v>
                </c:pt>
                <c:pt idx="3">
                  <c:v>233.72</c:v>
                </c:pt>
                <c:pt idx="4">
                  <c:v>250.64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690372327"/>
        <c:axId val="241437402"/>
      </c:barChart>
      <c:lineChart>
        <c:grouping val="standard"/>
        <c:varyColors val="0"/>
        <c:ser>
          <c:idx val="1"/>
          <c:order val="1"/>
          <c:tx>
            <c:strRef>
              <c:f>'[2019公报图表.xlsx]Sheet1 (4)'!$A$4</c:f>
              <c:strCache>
                <c:ptCount val="1"/>
                <c:pt idx="0">
                  <c:v>同比增速（%）</c:v>
                </c:pt>
              </c:strCache>
            </c:strRef>
          </c:tx>
          <c:spPr>
            <a:ln w="28575" cap="rnd">
              <a:solidFill>
                <a:srgbClr val="CCFFFF"/>
              </a:solidFill>
              <a:round/>
              <a:headEnd type="none"/>
              <a:tailEnd type="none"/>
            </a:ln>
            <a:effectLst/>
          </c:spPr>
          <c:marker>
            <c:symbol val="diamond"/>
            <c:size val="5"/>
            <c:spPr>
              <a:gradFill>
                <a:gsLst>
                  <a:gs pos="0">
                    <a:srgbClr val="CC99FF"/>
                  </a:gs>
                  <a:gs pos="100000">
                    <a:srgbClr val="401A5D"/>
                  </a:gs>
                </a:gsLst>
                <a:lin ang="5400000" scaled="0"/>
              </a:gradFill>
              <a:ln w="9525">
                <a:solidFill>
                  <a:srgbClr val="CC99FF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0"/>
                  <c:y val="0.13888888888888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'[2019公报图表.xlsx]Sheet1 (4)'!$B$2:$F$2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'[2019公报图表.xlsx]Sheet1 (4)'!$B$4:$F$4</c:f>
              <c:numCache>
                <c:formatCode>0.0_ </c:formatCode>
                <c:ptCount val="5"/>
                <c:pt idx="0">
                  <c:v>4.2</c:v>
                </c:pt>
                <c:pt idx="1">
                  <c:v>4.1</c:v>
                </c:pt>
                <c:pt idx="2">
                  <c:v>12.6</c:v>
                </c:pt>
                <c:pt idx="3">
                  <c:v>7.5</c:v>
                </c:pt>
                <c:pt idx="4">
                  <c:v>7.2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410606"/>
        <c:axId val="144083491"/>
      </c:lineChart>
      <c:catAx>
        <c:axId val="69037232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1437402"/>
        <c:crosses val="autoZero"/>
        <c:auto val="1"/>
        <c:lblAlgn val="ctr"/>
        <c:lblOffset val="100"/>
        <c:noMultiLvlLbl val="0"/>
      </c:catAx>
      <c:valAx>
        <c:axId val="24143740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0372327"/>
        <c:crosses val="autoZero"/>
        <c:crossBetween val="between"/>
      </c:valAx>
      <c:catAx>
        <c:axId val="26410606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4083491"/>
        <c:crosses val="autoZero"/>
        <c:auto val="1"/>
        <c:lblAlgn val="ctr"/>
        <c:lblOffset val="100"/>
        <c:noMultiLvlLbl val="0"/>
      </c:catAx>
      <c:valAx>
        <c:axId val="144083491"/>
        <c:scaling>
          <c:orientation val="minMax"/>
        </c:scaling>
        <c:delete val="0"/>
        <c:axPos val="r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41060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chemeClr val="accent1">
                    <a:lumMod val="75000"/>
                  </a:schemeClr>
                </a:solidFill>
              </a:rPr>
              <a:t>一般公共预算收入</a:t>
            </a:r>
            <a:endParaRPr b="1">
              <a:solidFill>
                <a:schemeClr val="accent1">
                  <a:lumMod val="75000"/>
                </a:schemeClr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[2019公报图表.xlsx]财政收入!$A$3</c:f>
              <c:strCache>
                <c:ptCount val="1"/>
                <c:pt idx="0">
                  <c:v>一般公共预算收入（亿元）</c:v>
                </c:pt>
              </c:strCache>
            </c:strRef>
          </c:tx>
          <c:spPr>
            <a:solidFill>
              <a:srgbClr val="FFCC99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0.00173611111111111"/>
                  <c:y val="-0.038194444444444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0.034722222222222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[2019公报图表.xlsx]财政收入!$B$2:$F$2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[2019公报图表.xlsx]财政收入!$B$3:$F$3</c:f>
              <c:numCache>
                <c:formatCode>0.00_ </c:formatCode>
                <c:ptCount val="5"/>
                <c:pt idx="0">
                  <c:v>58.21</c:v>
                </c:pt>
                <c:pt idx="1">
                  <c:v>55.41</c:v>
                </c:pt>
                <c:pt idx="2">
                  <c:v>56.02</c:v>
                </c:pt>
                <c:pt idx="3">
                  <c:v>58.29</c:v>
                </c:pt>
                <c:pt idx="4">
                  <c:v>62.34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690372327"/>
        <c:axId val="241437402"/>
      </c:barChart>
      <c:lineChart>
        <c:grouping val="standard"/>
        <c:varyColors val="0"/>
        <c:ser>
          <c:idx val="1"/>
          <c:order val="1"/>
          <c:tx>
            <c:strRef>
              <c:f>[2019公报图表.xlsx]财政收入!$A$4</c:f>
              <c:strCache>
                <c:ptCount val="1"/>
                <c:pt idx="0">
                  <c:v>可比增速（%）</c:v>
                </c:pt>
              </c:strCache>
            </c:strRef>
          </c:tx>
          <c:spPr>
            <a:ln w="28575" cap="rnd">
              <a:solidFill>
                <a:srgbClr val="CCFF99"/>
              </a:solidFill>
              <a:round/>
              <a:headEnd type="none"/>
              <a:tailEnd type="none"/>
            </a:ln>
            <a:effectLst/>
          </c:spPr>
          <c:marker>
            <c:symbol val="diamond"/>
            <c:size val="5"/>
            <c:spPr>
              <a:solidFill>
                <a:schemeClr val="accent6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0.00694444444444444"/>
                  <c:y val="0.12847222222222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173611111111111"/>
                  <c:y val="0.131944444444444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73611111111111"/>
                  <c:y val="0.017361111111111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0.017361111111111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[2019公报图表.xlsx]财政收入!$B$2:$F$2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[2019公报图表.xlsx]财政收入!$B$4:$F$4</c:f>
              <c:numCache>
                <c:formatCode>0.0_ </c:formatCode>
                <c:ptCount val="5"/>
                <c:pt idx="0">
                  <c:v>10.9</c:v>
                </c:pt>
                <c:pt idx="1">
                  <c:v>6.8</c:v>
                </c:pt>
                <c:pt idx="2">
                  <c:v>9.3</c:v>
                </c:pt>
                <c:pt idx="3">
                  <c:v>6.1</c:v>
                </c:pt>
                <c:pt idx="4">
                  <c:v>11.1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410606"/>
        <c:axId val="144083491"/>
      </c:lineChart>
      <c:catAx>
        <c:axId val="69037232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1437402"/>
        <c:crosses val="autoZero"/>
        <c:auto val="1"/>
        <c:lblAlgn val="ctr"/>
        <c:lblOffset val="100"/>
        <c:noMultiLvlLbl val="0"/>
      </c:catAx>
      <c:valAx>
        <c:axId val="24143740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0372327"/>
        <c:crosses val="autoZero"/>
        <c:crossBetween val="between"/>
      </c:valAx>
      <c:catAx>
        <c:axId val="26410606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4083491"/>
        <c:crosses val="autoZero"/>
        <c:auto val="1"/>
        <c:lblAlgn val="ctr"/>
        <c:lblOffset val="100"/>
        <c:noMultiLvlLbl val="0"/>
      </c:catAx>
      <c:valAx>
        <c:axId val="144083491"/>
        <c:scaling>
          <c:orientation val="minMax"/>
        </c:scaling>
        <c:delete val="0"/>
        <c:axPos val="r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41060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chemeClr val="accent1">
                    <a:lumMod val="75000"/>
                  </a:schemeClr>
                </a:solidFill>
              </a:rPr>
              <a:t>规模以上工业总产值</a:t>
            </a:r>
            <a:endParaRPr b="1">
              <a:solidFill>
                <a:schemeClr val="accent1">
                  <a:lumMod val="75000"/>
                </a:schemeClr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[2019公报图表.xlsx]工业!$A$3</c:f>
              <c:strCache>
                <c:ptCount val="1"/>
                <c:pt idx="0">
                  <c:v>规模以上工业总产值（亿元）</c:v>
                </c:pt>
              </c:strCache>
            </c:strRef>
          </c:tx>
          <c:spPr>
            <a:solidFill>
              <a:srgbClr val="CC99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[2019公报图表.xlsx]工业!$B$2:$F$2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[2019公报图表.xlsx]工业!$B$3:$F$3</c:f>
              <c:numCache>
                <c:formatCode>0.00_ </c:formatCode>
                <c:ptCount val="5"/>
                <c:pt idx="0">
                  <c:v>824.42</c:v>
                </c:pt>
                <c:pt idx="1">
                  <c:v>866.87</c:v>
                </c:pt>
                <c:pt idx="2">
                  <c:v>744.08</c:v>
                </c:pt>
                <c:pt idx="3">
                  <c:v>810.85</c:v>
                </c:pt>
                <c:pt idx="4">
                  <c:v>877.31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690372327"/>
        <c:axId val="241437402"/>
      </c:barChart>
      <c:lineChart>
        <c:grouping val="standard"/>
        <c:varyColors val="0"/>
        <c:ser>
          <c:idx val="1"/>
          <c:order val="1"/>
          <c:tx>
            <c:strRef>
              <c:f>[2019公报图表.xlsx]工业!$A$4</c:f>
              <c:strCache>
                <c:ptCount val="1"/>
                <c:pt idx="0">
                  <c:v>同比增速（%）</c:v>
                </c:pt>
              </c:strCache>
            </c:strRef>
          </c:tx>
          <c:spPr>
            <a:ln w="28575" cap="rnd">
              <a:solidFill>
                <a:schemeClr val="bg2">
                  <a:lumMod val="90000"/>
                </a:schemeClr>
              </a:solidFill>
              <a:round/>
              <a:headEnd type="none"/>
              <a:tailEnd type="none"/>
            </a:ln>
            <a:effectLst/>
          </c:spPr>
          <c:marker>
            <c:symbol val="diamond"/>
            <c:size val="5"/>
            <c:spPr>
              <a:solidFill>
                <a:schemeClr val="bg2">
                  <a:lumMod val="50000"/>
                </a:schemeClr>
              </a:solidFill>
              <a:ln w="9525">
                <a:solidFill>
                  <a:schemeClr val="bg2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00190839694656489"/>
                  <c:y val="0.13888888888888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[2019公报图表.xlsx]工业!$B$2:$F$2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[2019公报图表.xlsx]工业!$B$4:$F$4</c:f>
              <c:numCache>
                <c:formatCode>0.0_ </c:formatCode>
                <c:ptCount val="5"/>
                <c:pt idx="0">
                  <c:v>5.6</c:v>
                </c:pt>
                <c:pt idx="1">
                  <c:v>4.3</c:v>
                </c:pt>
                <c:pt idx="2">
                  <c:v>7.3</c:v>
                </c:pt>
                <c:pt idx="3">
                  <c:v>5.4</c:v>
                </c:pt>
                <c:pt idx="4">
                  <c:v>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410606"/>
        <c:axId val="144083491"/>
      </c:lineChart>
      <c:catAx>
        <c:axId val="69037232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1437402"/>
        <c:crosses val="autoZero"/>
        <c:auto val="1"/>
        <c:lblAlgn val="ctr"/>
        <c:lblOffset val="100"/>
        <c:noMultiLvlLbl val="0"/>
      </c:catAx>
      <c:valAx>
        <c:axId val="24143740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0372327"/>
        <c:crosses val="autoZero"/>
        <c:crossBetween val="between"/>
      </c:valAx>
      <c:catAx>
        <c:axId val="26410606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4083491"/>
        <c:crosses val="autoZero"/>
        <c:auto val="1"/>
        <c:lblAlgn val="ctr"/>
        <c:lblOffset val="100"/>
        <c:noMultiLvlLbl val="0"/>
      </c:catAx>
      <c:valAx>
        <c:axId val="144083491"/>
        <c:scaling>
          <c:orientation val="minMax"/>
        </c:scaling>
        <c:delete val="0"/>
        <c:axPos val="r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41060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chemeClr val="accent1">
                    <a:lumMod val="75000"/>
                  </a:schemeClr>
                </a:solidFill>
              </a:rPr>
              <a:t>社会消费品零售总额</a:t>
            </a:r>
            <a:endParaRPr b="1">
              <a:solidFill>
                <a:schemeClr val="accent1">
                  <a:lumMod val="75000"/>
                </a:schemeClr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[2019公报图表.xlsx]社零!$A$3</c:f>
              <c:strCache>
                <c:ptCount val="1"/>
                <c:pt idx="0">
                  <c:v>社会消费品零售总额（亿元）</c:v>
                </c:pt>
              </c:strCache>
            </c:strRef>
          </c:tx>
          <c:spPr>
            <a:solidFill>
              <a:srgbClr val="FFCCCC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0.065972222222222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017361111111111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[2019公报图表.xlsx]社零!$B$2:$F$2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[2019公报图表.xlsx]社零!$B$3:$F$3</c:f>
              <c:numCache>
                <c:formatCode>0.00_ </c:formatCode>
                <c:ptCount val="5"/>
                <c:pt idx="0">
                  <c:v>1007.61</c:v>
                </c:pt>
                <c:pt idx="1">
                  <c:v>1113.68</c:v>
                </c:pt>
                <c:pt idx="2">
                  <c:v>1213.36</c:v>
                </c:pt>
                <c:pt idx="3">
                  <c:v>1025.38</c:v>
                </c:pt>
                <c:pt idx="4">
                  <c:v>1111.37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690372327"/>
        <c:axId val="241437402"/>
      </c:barChart>
      <c:lineChart>
        <c:grouping val="standard"/>
        <c:varyColors val="0"/>
        <c:ser>
          <c:idx val="1"/>
          <c:order val="1"/>
          <c:tx>
            <c:strRef>
              <c:f>[2019公报图表.xlsx]社零!$A$4</c:f>
              <c:strCache>
                <c:ptCount val="1"/>
                <c:pt idx="0">
                  <c:v>同比增速（%）</c:v>
                </c:pt>
              </c:strCache>
            </c:strRef>
          </c:tx>
          <c:spPr>
            <a:ln w="28575" cap="rnd">
              <a:solidFill>
                <a:srgbClr val="CCCCFF"/>
              </a:solidFill>
              <a:round/>
              <a:headEnd type="none"/>
              <a:tailEnd type="none"/>
            </a:ln>
            <a:effectLst/>
          </c:spPr>
          <c:marker>
            <c:symbol val="diamond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0.00190839694656489"/>
                  <c:y val="0.027777777777777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[2019公报图表.xlsx]社零!$B$2:$F$2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[2019公报图表.xlsx]社零!$B$4:$F$4</c:f>
              <c:numCache>
                <c:formatCode>0.0_ </c:formatCode>
                <c:ptCount val="5"/>
                <c:pt idx="0">
                  <c:v>11</c:v>
                </c:pt>
                <c:pt idx="1">
                  <c:v>10.5</c:v>
                </c:pt>
                <c:pt idx="2">
                  <c:v>9</c:v>
                </c:pt>
                <c:pt idx="3">
                  <c:v>8.3</c:v>
                </c:pt>
                <c:pt idx="4">
                  <c:v>8.4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410606"/>
        <c:axId val="144083491"/>
      </c:lineChart>
      <c:catAx>
        <c:axId val="69037232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1437402"/>
        <c:crosses val="autoZero"/>
        <c:auto val="1"/>
        <c:lblAlgn val="ctr"/>
        <c:lblOffset val="100"/>
        <c:noMultiLvlLbl val="0"/>
      </c:catAx>
      <c:valAx>
        <c:axId val="24143740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0372327"/>
        <c:crosses val="autoZero"/>
        <c:crossBetween val="between"/>
      </c:valAx>
      <c:catAx>
        <c:axId val="26410606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4083491"/>
        <c:crosses val="autoZero"/>
        <c:auto val="1"/>
        <c:lblAlgn val="ctr"/>
        <c:lblOffset val="100"/>
        <c:noMultiLvlLbl val="0"/>
      </c:catAx>
      <c:valAx>
        <c:axId val="144083491"/>
        <c:scaling>
          <c:orientation val="minMax"/>
        </c:scaling>
        <c:delete val="0"/>
        <c:axPos val="r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41060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chemeClr val="accent1">
                    <a:lumMod val="75000"/>
                  </a:schemeClr>
                </a:solidFill>
              </a:rPr>
              <a:t>出口总值</a:t>
            </a:r>
            <a:endParaRPr b="1">
              <a:solidFill>
                <a:schemeClr val="accent1">
                  <a:lumMod val="75000"/>
                </a:schemeClr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[2019公报图表.xlsx]出口!$A$3</c:f>
              <c:strCache>
                <c:ptCount val="1"/>
                <c:pt idx="0">
                  <c:v>出口总值（亿美元）</c:v>
                </c:pt>
              </c:strCache>
            </c:strRef>
          </c:tx>
          <c:spPr>
            <a:solidFill>
              <a:srgbClr val="FFFF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[2019公报图表.xlsx]出口!$B$2:$F$2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[2019公报图表.xlsx]出口!$B$3:$F$3</c:f>
              <c:numCache>
                <c:formatCode>0.00_ </c:formatCode>
                <c:ptCount val="5"/>
                <c:pt idx="0">
                  <c:v>46.47</c:v>
                </c:pt>
                <c:pt idx="1">
                  <c:v>43.65</c:v>
                </c:pt>
                <c:pt idx="2">
                  <c:v>56.58</c:v>
                </c:pt>
                <c:pt idx="3">
                  <c:v>57.38</c:v>
                </c:pt>
                <c:pt idx="4">
                  <c:v>51.87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690372327"/>
        <c:axId val="241437402"/>
      </c:barChart>
      <c:lineChart>
        <c:grouping val="standard"/>
        <c:varyColors val="0"/>
        <c:ser>
          <c:idx val="1"/>
          <c:order val="1"/>
          <c:tx>
            <c:strRef>
              <c:f>[2019公报图表.xlsx]出口!$A$4</c:f>
              <c:strCache>
                <c:ptCount val="1"/>
                <c:pt idx="0">
                  <c:v>同比增速（%）</c:v>
                </c:pt>
              </c:strCache>
            </c:strRef>
          </c:tx>
          <c:spPr>
            <a:ln w="28575" cap="rnd">
              <a:solidFill>
                <a:srgbClr val="FFCC99"/>
              </a:solidFill>
              <a:round/>
              <a:headEnd type="none"/>
              <a:tailEnd type="none"/>
            </a:ln>
            <a:effectLst/>
          </c:spPr>
          <c:marker>
            <c:symbol val="diamond"/>
            <c:size val="5"/>
            <c:spPr>
              <a:gradFill>
                <a:gsLst>
                  <a:gs pos="0">
                    <a:schemeClr val="accent2">
                      <a:lumMod val="91000"/>
                    </a:schemeClr>
                  </a:gs>
                  <a:gs pos="100000">
                    <a:srgbClr val="832B2B"/>
                  </a:gs>
                </a:gsLst>
                <a:lin ang="5400000" scaled="0"/>
              </a:gra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2"/>
            <c:marker>
              <c:symbol val="diamond"/>
              <c:size val="5"/>
              <c:spPr>
                <a:gradFill>
                  <a:gsLst>
                    <a:gs pos="0">
                      <a:schemeClr val="accent2">
                        <a:lumMod val="91000"/>
                      </a:schemeClr>
                    </a:gs>
                    <a:gs pos="100000">
                      <a:srgbClr val="832B2B"/>
                    </a:gs>
                  </a:gsLst>
                  <a:lin ang="5400000" scaled="0"/>
                </a:gradFill>
                <a:ln w="31750">
                  <a:solidFill>
                    <a:schemeClr val="accent2"/>
                  </a:solidFill>
                </a:ln>
                <a:effectLst/>
              </c:spPr>
            </c:marker>
            <c:bubble3D val="0"/>
          </c:dPt>
          <c:dLbls>
            <c:dLbl>
              <c:idx val="1"/>
              <c:layout>
                <c:manualLayout>
                  <c:x val="0"/>
                  <c:y val="-0.0312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[2019公报图表.xlsx]出口!$B$2:$F$2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[2019公报图表.xlsx]出口!$B$4:$F$4</c:f>
              <c:numCache>
                <c:formatCode>0.0_ </c:formatCode>
                <c:ptCount val="5"/>
                <c:pt idx="0">
                  <c:v>-5.4</c:v>
                </c:pt>
                <c:pt idx="1">
                  <c:v>-6.5</c:v>
                </c:pt>
                <c:pt idx="2">
                  <c:v>10.8</c:v>
                </c:pt>
                <c:pt idx="3">
                  <c:v>2.2</c:v>
                </c:pt>
                <c:pt idx="4">
                  <c:v>-12.1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410606"/>
        <c:axId val="144083491"/>
      </c:lineChart>
      <c:catAx>
        <c:axId val="69037232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1437402"/>
        <c:crosses val="autoZero"/>
        <c:auto val="1"/>
        <c:lblAlgn val="ctr"/>
        <c:lblOffset val="100"/>
        <c:noMultiLvlLbl val="0"/>
      </c:catAx>
      <c:valAx>
        <c:axId val="24143740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0372327"/>
        <c:crosses val="autoZero"/>
        <c:crossBetween val="between"/>
      </c:valAx>
      <c:catAx>
        <c:axId val="26410606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4083491"/>
        <c:crosses val="autoZero"/>
        <c:auto val="1"/>
        <c:lblAlgn val="ctr"/>
        <c:lblOffset val="100"/>
        <c:noMultiLvlLbl val="0"/>
      </c:catAx>
      <c:valAx>
        <c:axId val="144083491"/>
        <c:scaling>
          <c:orientation val="minMax"/>
        </c:scaling>
        <c:delete val="0"/>
        <c:axPos val="r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41060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chemeClr val="accent1">
                    <a:lumMod val="75000"/>
                  </a:schemeClr>
                </a:solidFill>
              </a:rPr>
              <a:t>进口总值</a:t>
            </a:r>
            <a:endParaRPr b="1">
              <a:solidFill>
                <a:schemeClr val="accent1">
                  <a:lumMod val="75000"/>
                </a:schemeClr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[2019公报图表.xlsx]进口!$A$3</c:f>
              <c:strCache>
                <c:ptCount val="1"/>
                <c:pt idx="0">
                  <c:v>进口总值（亿美元）</c:v>
                </c:pt>
              </c:strCache>
            </c:strRef>
          </c:tx>
          <c:spPr>
            <a:solidFill>
              <a:srgbClr val="33CC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[2019公报图表.xlsx]进口!$B$2:$F$2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[2019公报图表.xlsx]进口!$B$3:$F$3</c:f>
              <c:numCache>
                <c:formatCode>0.00_ </c:formatCode>
                <c:ptCount val="5"/>
                <c:pt idx="0">
                  <c:v>42.78</c:v>
                </c:pt>
                <c:pt idx="1">
                  <c:v>22.76</c:v>
                </c:pt>
                <c:pt idx="2">
                  <c:v>28.24</c:v>
                </c:pt>
                <c:pt idx="3">
                  <c:v>28.88</c:v>
                </c:pt>
                <c:pt idx="4">
                  <c:v>21.92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690372327"/>
        <c:axId val="241437402"/>
      </c:barChart>
      <c:lineChart>
        <c:grouping val="standard"/>
        <c:varyColors val="0"/>
        <c:ser>
          <c:idx val="1"/>
          <c:order val="1"/>
          <c:tx>
            <c:strRef>
              <c:f>[2019公报图表.xlsx]进口!$A$4</c:f>
              <c:strCache>
                <c:ptCount val="1"/>
                <c:pt idx="0">
                  <c:v>同比增速（%）</c:v>
                </c:pt>
              </c:strCache>
            </c:strRef>
          </c:tx>
          <c:spPr>
            <a:ln w="28575" cap="rnd">
              <a:solidFill>
                <a:srgbClr val="FFFF00"/>
              </a:solidFill>
              <a:round/>
              <a:headEnd type="none"/>
              <a:tailEnd type="none"/>
            </a:ln>
            <a:effectLst/>
          </c:spPr>
          <c:marker>
            <c:symbol val="diamond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0.00520833333333333"/>
                  <c:y val="0.125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[2019公报图表.xlsx]进口!$B$2:$F$2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[2019公报图表.xlsx]进口!$B$4:$F$4</c:f>
              <c:numCache>
                <c:formatCode>0.0_ </c:formatCode>
                <c:ptCount val="5"/>
                <c:pt idx="0">
                  <c:v>27.2</c:v>
                </c:pt>
                <c:pt idx="1">
                  <c:v>-46.1</c:v>
                </c:pt>
                <c:pt idx="2">
                  <c:v>24</c:v>
                </c:pt>
                <c:pt idx="3">
                  <c:v>2.6</c:v>
                </c:pt>
                <c:pt idx="4">
                  <c:v>-27.3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410606"/>
        <c:axId val="144083491"/>
      </c:lineChart>
      <c:catAx>
        <c:axId val="69037232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1437402"/>
        <c:crosses val="autoZero"/>
        <c:auto val="1"/>
        <c:lblAlgn val="ctr"/>
        <c:lblOffset val="100"/>
        <c:noMultiLvlLbl val="0"/>
      </c:catAx>
      <c:valAx>
        <c:axId val="24143740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0372327"/>
        <c:crosses val="autoZero"/>
        <c:crossBetween val="between"/>
      </c:valAx>
      <c:catAx>
        <c:axId val="26410606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4083491"/>
        <c:crosses val="autoZero"/>
        <c:auto val="1"/>
        <c:lblAlgn val="ctr"/>
        <c:lblOffset val="100"/>
        <c:noMultiLvlLbl val="0"/>
      </c:catAx>
      <c:valAx>
        <c:axId val="144083491"/>
        <c:scaling>
          <c:orientation val="minMax"/>
        </c:scaling>
        <c:delete val="0"/>
        <c:axPos val="r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41060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2017-02-05T12:23:00Z</dcterms:created>
  <dc:creator>Administrator</dc:creator>
  <cp:lastModifiedBy>Administrator</cp:lastModifiedBy>
  <cp:lastPrinted>2017-02-17T07:01:00Z</cp:lastPrinted>
  <dcterms:modified xsi:type="dcterms:W3CDTF">2020-05-07T09:58:30Z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