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360" w:lineRule="auto"/>
        <w:jc w:val="left"/>
        <w:rPr>
          <w:rFonts w:hint="default" w:ascii="仿宋" w:hAnsi="仿宋" w:eastAsia="仿宋" w:cs="Arial"/>
          <w:b/>
          <w:sz w:val="32"/>
          <w:szCs w:val="32"/>
          <w:lang w:val="en-US" w:eastAsia="zh-CN"/>
        </w:rPr>
      </w:pPr>
      <w:bookmarkStart w:id="0" w:name="_Toc101951257"/>
      <w:bookmarkStart w:id="1" w:name="_Toc98580292"/>
      <w:bookmarkStart w:id="2" w:name="_Toc98579609"/>
      <w:bookmarkStart w:id="3" w:name="_Toc37331038"/>
      <w:bookmarkStart w:id="4" w:name="_Toc175644388"/>
      <w:bookmarkStart w:id="5" w:name="_Toc37331080"/>
      <w:bookmarkStart w:id="6" w:name="_Toc98035088"/>
      <w:bookmarkStart w:id="7" w:name="_Toc40762370"/>
      <w:bookmarkStart w:id="8" w:name="_Toc46308527"/>
      <w:bookmarkStart w:id="9" w:name="_Toc401906926"/>
      <w:bookmarkStart w:id="10" w:name="_Toc98579068"/>
      <w:bookmarkStart w:id="11" w:name="_Toc101843124"/>
      <w:bookmarkStart w:id="12" w:name="_Toc98579010"/>
      <w:bookmarkStart w:id="13" w:name="_Toc37581420"/>
      <w:bookmarkStart w:id="14" w:name="_Toc101771371"/>
      <w:bookmarkStart w:id="15" w:name="_Toc101775124"/>
      <w:bookmarkStart w:id="16" w:name="_Toc46308683"/>
      <w:bookmarkStart w:id="17" w:name="_Toc50276156"/>
      <w:bookmarkStart w:id="18" w:name="_Toc50276195"/>
      <w:bookmarkStart w:id="19" w:name="_Toc37569519"/>
      <w:bookmarkStart w:id="20" w:name="_Toc37245276"/>
      <w:bookmarkStart w:id="21" w:name="_Toc37663391"/>
      <w:r>
        <w:rPr>
          <w:rFonts w:hint="eastAsia" w:ascii="仿宋" w:hAnsi="仿宋" w:eastAsia="仿宋" w:cs="Arial"/>
          <w:b/>
          <w:sz w:val="32"/>
          <w:szCs w:val="32"/>
          <w:lang w:val="en-US" w:eastAsia="zh-CN"/>
        </w:rPr>
        <w:t>附件：1</w:t>
      </w:r>
    </w:p>
    <w:p>
      <w:pPr>
        <w:spacing w:before="312" w:line="360" w:lineRule="auto"/>
        <w:jc w:val="center"/>
        <w:rPr>
          <w:rFonts w:ascii="仿宋" w:hAnsi="仿宋" w:eastAsia="仿宋" w:cs="Arial"/>
          <w:b/>
          <w:sz w:val="32"/>
          <w:szCs w:val="32"/>
        </w:rPr>
      </w:pPr>
      <w:r>
        <w:rPr>
          <w:rFonts w:hint="eastAsia" w:ascii="仿宋" w:hAnsi="仿宋" w:eastAsia="仿宋" w:cs="Arial"/>
          <w:b/>
          <w:sz w:val="32"/>
          <w:szCs w:val="32"/>
        </w:rPr>
        <w:t>广州市白云</w:t>
      </w:r>
      <w:r>
        <w:rPr>
          <w:rFonts w:ascii="仿宋" w:hAnsi="仿宋" w:eastAsia="仿宋" w:cs="Arial"/>
          <w:b/>
          <w:sz w:val="32"/>
          <w:szCs w:val="32"/>
        </w:rPr>
        <w:t>区太和镇人民政府</w:t>
      </w:r>
      <w:r>
        <w:rPr>
          <w:rFonts w:hint="eastAsia" w:ascii="仿宋" w:hAnsi="仿宋" w:eastAsia="仿宋" w:cs="Arial"/>
          <w:b/>
          <w:sz w:val="32"/>
          <w:szCs w:val="32"/>
        </w:rPr>
        <w:t>审计服务项目采购需求</w:t>
      </w:r>
    </w:p>
    <w:tbl>
      <w:tblPr>
        <w:tblStyle w:val="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68"/>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80" w:type="dxa"/>
            <w:gridSpan w:val="3"/>
            <w:vAlign w:val="center"/>
          </w:tcPr>
          <w:p>
            <w:pPr>
              <w:spacing w:line="360" w:lineRule="auto"/>
              <w:rPr>
                <w:rFonts w:ascii="宋体" w:hAnsi="宋体" w:cs="宋体"/>
                <w:sz w:val="24"/>
                <w:szCs w:val="24"/>
              </w:rPr>
            </w:pPr>
            <w:r>
              <w:rPr>
                <w:rFonts w:hint="eastAsia" w:ascii="宋体" w:hAnsi="宋体" w:cs="宋体"/>
                <w:sz w:val="24"/>
                <w:szCs w:val="24"/>
              </w:rPr>
              <w:t>最高限价：</w:t>
            </w:r>
            <w:r>
              <w:rPr>
                <w:rFonts w:hint="eastAsia" w:ascii="仿宋" w:hAnsi="仿宋" w:eastAsia="仿宋" w:cs="宋体"/>
                <w:sz w:val="24"/>
                <w:szCs w:val="24"/>
              </w:rPr>
              <w:t>人民币</w:t>
            </w:r>
            <w:r>
              <w:rPr>
                <w:rFonts w:hint="eastAsia" w:ascii="仿宋" w:hAnsi="仿宋" w:eastAsia="仿宋" w:cs="宋体"/>
                <w:sz w:val="24"/>
                <w:szCs w:val="24"/>
                <w:u w:val="single"/>
                <w:lang w:val="en-US" w:eastAsia="zh-CN"/>
              </w:rPr>
              <w:t>42</w:t>
            </w:r>
            <w:r>
              <w:rPr>
                <w:rFonts w:hint="eastAsia" w:ascii="仿宋" w:hAnsi="仿宋" w:eastAsia="仿宋"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80" w:type="dxa"/>
            <w:gridSpan w:val="3"/>
            <w:vAlign w:val="center"/>
          </w:tcPr>
          <w:p>
            <w:pPr>
              <w:spacing w:line="360" w:lineRule="auto"/>
              <w:rPr>
                <w:rFonts w:ascii="宋体" w:hAnsi="宋体" w:cs="宋体"/>
                <w:sz w:val="24"/>
                <w:szCs w:val="24"/>
              </w:rPr>
            </w:pPr>
            <w:r>
              <w:rPr>
                <w:rFonts w:hint="eastAsia" w:ascii="宋体" w:hAnsi="宋体" w:cs="宋体"/>
                <w:sz w:val="24"/>
                <w:szCs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0"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8750"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符合《政府采购法》第二十二条供应商资格条件</w:t>
            </w:r>
            <w:r>
              <w:rPr>
                <w:rStyle w:val="6"/>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30"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8750" w:type="dxa"/>
            <w:gridSpan w:val="2"/>
            <w:vAlign w:val="center"/>
          </w:tcPr>
          <w:p>
            <w:pPr>
              <w:spacing w:line="360" w:lineRule="auto"/>
              <w:rPr>
                <w:rFonts w:ascii="仿宋" w:hAnsi="仿宋" w:eastAsia="仿宋" w:cs="Arial"/>
                <w:sz w:val="24"/>
                <w:szCs w:val="24"/>
              </w:rPr>
            </w:pPr>
            <w:r>
              <w:rPr>
                <w:rFonts w:hint="eastAsia" w:ascii="仿宋" w:hAnsi="仿宋" w:eastAsia="仿宋" w:cs="Arial"/>
                <w:sz w:val="24"/>
                <w:szCs w:val="24"/>
              </w:rPr>
              <w:t>具备国家行业主管部门颁发的有效的会计师事务所或分所执业证书和营业执照；分所投标的，必须提供总所出具的授权书。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0"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8750" w:type="dxa"/>
            <w:gridSpan w:val="2"/>
            <w:vAlign w:val="center"/>
          </w:tcPr>
          <w:p>
            <w:pPr>
              <w:spacing w:line="360" w:lineRule="auto"/>
              <w:rPr>
                <w:rFonts w:ascii="仿宋" w:hAnsi="仿宋" w:eastAsia="仿宋" w:cs="Arial"/>
                <w:sz w:val="24"/>
                <w:szCs w:val="24"/>
              </w:rPr>
            </w:pPr>
            <w:r>
              <w:rPr>
                <w:rFonts w:hint="eastAsia" w:ascii="仿宋" w:hAnsi="仿宋" w:eastAsia="仿宋" w:cs="Arial"/>
                <w:sz w:val="24"/>
                <w:szCs w:val="24"/>
              </w:rPr>
              <w:t>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Align w:val="center"/>
          </w:tcPr>
          <w:p>
            <w:pPr>
              <w:spacing w:line="360" w:lineRule="auto"/>
              <w:jc w:val="center"/>
              <w:rPr>
                <w:rFonts w:ascii="宋体" w:hAnsi="宋体"/>
                <w:sz w:val="24"/>
                <w:szCs w:val="24"/>
              </w:rPr>
            </w:pPr>
            <w:r>
              <w:rPr>
                <w:rFonts w:hint="eastAsia" w:ascii="宋体" w:hAnsi="宋体"/>
                <w:sz w:val="24"/>
                <w:szCs w:val="24"/>
              </w:rPr>
              <w:t>4</w:t>
            </w:r>
          </w:p>
        </w:tc>
        <w:tc>
          <w:tcPr>
            <w:tcW w:w="8750" w:type="dxa"/>
            <w:gridSpan w:val="2"/>
            <w:vAlign w:val="center"/>
          </w:tcPr>
          <w:p>
            <w:pPr>
              <w:spacing w:line="360" w:lineRule="auto"/>
              <w:rPr>
                <w:rFonts w:ascii="仿宋" w:hAnsi="仿宋" w:eastAsia="仿宋" w:cs="Arial"/>
                <w:sz w:val="24"/>
                <w:szCs w:val="24"/>
              </w:rPr>
            </w:pPr>
            <w:r>
              <w:rPr>
                <w:rFonts w:hint="eastAsia" w:ascii="仿宋" w:hAnsi="仿宋" w:eastAsia="仿宋" w:cs="Arial"/>
                <w:sz w:val="24"/>
                <w:szCs w:val="24"/>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0" w:type="dxa"/>
            <w:vAlign w:val="center"/>
          </w:tcPr>
          <w:p>
            <w:pPr>
              <w:spacing w:line="360" w:lineRule="auto"/>
              <w:jc w:val="center"/>
              <w:rPr>
                <w:rFonts w:ascii="宋体" w:hAnsi="宋体"/>
                <w:sz w:val="24"/>
                <w:szCs w:val="24"/>
              </w:rPr>
            </w:pPr>
            <w:r>
              <w:rPr>
                <w:rFonts w:hint="eastAsia" w:ascii="宋体" w:hAnsi="宋体"/>
                <w:sz w:val="24"/>
                <w:szCs w:val="24"/>
              </w:rPr>
              <w:t>5</w:t>
            </w:r>
          </w:p>
        </w:tc>
        <w:tc>
          <w:tcPr>
            <w:tcW w:w="8750" w:type="dxa"/>
            <w:gridSpan w:val="2"/>
            <w:vAlign w:val="center"/>
          </w:tcPr>
          <w:p>
            <w:pPr>
              <w:spacing w:line="360" w:lineRule="auto"/>
              <w:rPr>
                <w:rFonts w:ascii="仿宋" w:hAnsi="仿宋" w:eastAsia="仿宋" w:cs="Arial"/>
                <w:sz w:val="24"/>
                <w:szCs w:val="24"/>
              </w:rPr>
            </w:pPr>
            <w:r>
              <w:rPr>
                <w:rFonts w:hint="eastAsia" w:ascii="仿宋" w:hAnsi="仿宋" w:eastAsia="仿宋" w:cs="Arial"/>
                <w:sz w:val="24"/>
                <w:szCs w:val="24"/>
              </w:rPr>
              <w:t>具有履行合同所必需的设备和专业技术能力。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0" w:type="dxa"/>
            <w:vAlign w:val="center"/>
          </w:tcPr>
          <w:p>
            <w:pPr>
              <w:spacing w:line="360" w:lineRule="auto"/>
              <w:jc w:val="center"/>
              <w:rPr>
                <w:rFonts w:ascii="宋体" w:hAnsi="宋体"/>
                <w:sz w:val="24"/>
                <w:szCs w:val="24"/>
              </w:rPr>
            </w:pPr>
            <w:r>
              <w:rPr>
                <w:rFonts w:hint="eastAsia" w:ascii="宋体" w:hAnsi="宋体"/>
                <w:sz w:val="24"/>
                <w:szCs w:val="24"/>
              </w:rPr>
              <w:t>6</w:t>
            </w:r>
          </w:p>
        </w:tc>
        <w:tc>
          <w:tcPr>
            <w:tcW w:w="8750" w:type="dxa"/>
            <w:gridSpan w:val="2"/>
            <w:vAlign w:val="center"/>
          </w:tcPr>
          <w:p>
            <w:pPr>
              <w:spacing w:line="360" w:lineRule="auto"/>
              <w:rPr>
                <w:rFonts w:ascii="仿宋" w:hAnsi="仿宋" w:eastAsia="仿宋" w:cs="Arial"/>
                <w:sz w:val="24"/>
                <w:szCs w:val="24"/>
              </w:rPr>
            </w:pPr>
            <w:r>
              <w:rPr>
                <w:rFonts w:hint="eastAsia" w:ascii="仿宋" w:hAnsi="仿宋" w:eastAsia="仿宋" w:cs="Arial"/>
                <w:sz w:val="24"/>
                <w:szCs w:val="24"/>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0" w:type="dxa"/>
            <w:vAlign w:val="center"/>
          </w:tcPr>
          <w:p>
            <w:pPr>
              <w:spacing w:line="360" w:lineRule="auto"/>
              <w:jc w:val="center"/>
              <w:rPr>
                <w:rFonts w:ascii="宋体" w:hAnsi="宋体"/>
                <w:sz w:val="24"/>
                <w:szCs w:val="24"/>
              </w:rPr>
            </w:pPr>
            <w:r>
              <w:rPr>
                <w:rFonts w:hint="eastAsia" w:ascii="宋体" w:hAnsi="宋体"/>
                <w:sz w:val="24"/>
                <w:szCs w:val="24"/>
              </w:rPr>
              <w:t>7</w:t>
            </w:r>
          </w:p>
        </w:tc>
        <w:tc>
          <w:tcPr>
            <w:tcW w:w="8750" w:type="dxa"/>
            <w:gridSpan w:val="2"/>
            <w:vAlign w:val="center"/>
          </w:tcPr>
          <w:p>
            <w:pPr>
              <w:spacing w:line="360" w:lineRule="auto"/>
              <w:rPr>
                <w:rFonts w:ascii="仿宋" w:hAnsi="仿宋" w:eastAsia="仿宋" w:cs="Arial"/>
                <w:sz w:val="24"/>
                <w:szCs w:val="24"/>
              </w:rPr>
            </w:pPr>
            <w:r>
              <w:rPr>
                <w:rFonts w:hint="eastAsia" w:ascii="仿宋" w:hAnsi="仿宋" w:eastAsia="仿宋" w:cs="Arial"/>
                <w:sz w:val="24"/>
                <w:szCs w:val="24"/>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0" w:type="dxa"/>
            <w:vAlign w:val="center"/>
          </w:tcPr>
          <w:p>
            <w:pPr>
              <w:spacing w:line="360" w:lineRule="auto"/>
              <w:jc w:val="center"/>
              <w:rPr>
                <w:rFonts w:ascii="宋体" w:hAnsi="宋体"/>
                <w:sz w:val="24"/>
                <w:szCs w:val="24"/>
              </w:rPr>
            </w:pPr>
            <w:r>
              <w:rPr>
                <w:rFonts w:hint="eastAsia" w:ascii="宋体" w:hAnsi="宋体"/>
                <w:sz w:val="24"/>
                <w:szCs w:val="24"/>
              </w:rPr>
              <w:t>8</w:t>
            </w:r>
          </w:p>
        </w:tc>
        <w:tc>
          <w:tcPr>
            <w:tcW w:w="8750" w:type="dxa"/>
            <w:gridSpan w:val="2"/>
            <w:vAlign w:val="center"/>
          </w:tcPr>
          <w:p>
            <w:pPr>
              <w:spacing w:line="360" w:lineRule="auto"/>
              <w:rPr>
                <w:rFonts w:ascii="仿宋" w:hAnsi="仿宋" w:eastAsia="仿宋" w:cs="Arial"/>
                <w:sz w:val="24"/>
                <w:szCs w:val="24"/>
              </w:rPr>
            </w:pPr>
            <w:r>
              <w:rPr>
                <w:rFonts w:hint="eastAsia" w:ascii="仿宋" w:hAnsi="仿宋" w:eastAsia="仿宋" w:cs="Arial"/>
                <w:sz w:val="24"/>
                <w:szCs w:val="24"/>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80" w:type="dxa"/>
            <w:gridSpan w:val="3"/>
            <w:vAlign w:val="center"/>
          </w:tcPr>
          <w:p>
            <w:pPr>
              <w:spacing w:line="360" w:lineRule="auto"/>
              <w:rPr>
                <w:rFonts w:ascii="宋体" w:hAnsi="宋体"/>
                <w:sz w:val="24"/>
                <w:szCs w:val="24"/>
              </w:rPr>
            </w:pPr>
            <w:r>
              <w:rPr>
                <w:rFonts w:hint="eastAsia" w:ascii="宋体" w:hAnsi="宋体" w:cs="宋体"/>
                <w:sz w:val="24"/>
                <w:szCs w:val="24"/>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3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768" w:type="dxa"/>
            <w:vAlign w:val="center"/>
          </w:tcPr>
          <w:p>
            <w:pPr>
              <w:spacing w:line="360" w:lineRule="auto"/>
              <w:jc w:val="center"/>
              <w:rPr>
                <w:rFonts w:ascii="宋体" w:hAnsi="宋体" w:cs="宋体"/>
                <w:sz w:val="24"/>
                <w:szCs w:val="24"/>
              </w:rPr>
            </w:pPr>
            <w:r>
              <w:rPr>
                <w:rFonts w:hint="eastAsia" w:ascii="宋体" w:hAnsi="宋体"/>
                <w:sz w:val="24"/>
                <w:szCs w:val="24"/>
              </w:rPr>
              <w:t>采购内容</w:t>
            </w:r>
          </w:p>
        </w:tc>
        <w:tc>
          <w:tcPr>
            <w:tcW w:w="6982" w:type="dxa"/>
            <w:vAlign w:val="center"/>
          </w:tcPr>
          <w:p>
            <w:pPr>
              <w:spacing w:line="360" w:lineRule="auto"/>
              <w:rPr>
                <w:rFonts w:hint="eastAsia" w:ascii="仿宋" w:hAnsi="仿宋" w:eastAsia="仿宋" w:cs="宋体"/>
                <w:sz w:val="24"/>
                <w:szCs w:val="24"/>
                <w:lang w:eastAsia="zh-CN"/>
              </w:rPr>
            </w:pPr>
            <w:r>
              <w:rPr>
                <w:rFonts w:hint="eastAsia" w:ascii="仿宋" w:hAnsi="仿宋" w:eastAsia="仿宋" w:cs="Arial"/>
                <w:sz w:val="24"/>
                <w:szCs w:val="24"/>
              </w:rPr>
              <w:t>确定1家成交供应商，为采购人提供审计服务,对太和镇辖下5个村：联社、各经济合作社和村属公司2018-2019年度的财务收支方面等相关事项进行专项审计及村民委员会成员的任期(2017年6月1日-2020年6月30日)经济责任审计</w:t>
            </w:r>
            <w:r>
              <w:rPr>
                <w:rFonts w:hint="eastAsia" w:ascii="仿宋" w:hAnsi="仿宋" w:eastAsia="仿宋" w:cs="Arial"/>
                <w:sz w:val="24"/>
                <w:szCs w:val="24"/>
                <w:lang w:eastAsia="zh-CN"/>
              </w:rPr>
              <w:t>。审计服务范围：沙亭村、和龙村、白山村、石湖村、永兴村。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30"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1768" w:type="dxa"/>
            <w:vAlign w:val="center"/>
          </w:tcPr>
          <w:p>
            <w:pPr>
              <w:spacing w:line="360" w:lineRule="auto"/>
              <w:jc w:val="center"/>
              <w:rPr>
                <w:rFonts w:ascii="宋体" w:hAnsi="宋体" w:cs="宋体"/>
                <w:sz w:val="24"/>
                <w:szCs w:val="24"/>
              </w:rPr>
            </w:pPr>
            <w:r>
              <w:rPr>
                <w:rFonts w:hint="eastAsia" w:ascii="宋体" w:hAnsi="宋体" w:cs="宋体"/>
                <w:sz w:val="24"/>
                <w:szCs w:val="24"/>
              </w:rPr>
              <w:t>服务期</w:t>
            </w:r>
          </w:p>
        </w:tc>
        <w:tc>
          <w:tcPr>
            <w:tcW w:w="6982" w:type="dxa"/>
            <w:vAlign w:val="center"/>
          </w:tcPr>
          <w:p>
            <w:pPr>
              <w:spacing w:line="360" w:lineRule="auto"/>
              <w:rPr>
                <w:rFonts w:ascii="仿宋" w:hAnsi="仿宋" w:eastAsia="仿宋" w:cs="Arial"/>
                <w:sz w:val="24"/>
                <w:szCs w:val="24"/>
                <w:highlight w:val="yellow"/>
              </w:rPr>
            </w:pPr>
            <w:r>
              <w:rPr>
                <w:rFonts w:hint="eastAsia" w:ascii="仿宋" w:hAnsi="仿宋" w:eastAsia="仿宋"/>
                <w:sz w:val="24"/>
                <w:szCs w:val="24"/>
              </w:rPr>
              <w:t>自</w:t>
            </w:r>
            <w:r>
              <w:rPr>
                <w:rFonts w:hint="eastAsia" w:ascii="仿宋" w:hAnsi="仿宋" w:eastAsia="仿宋" w:cs="Arial"/>
                <w:sz w:val="24"/>
                <w:szCs w:val="24"/>
              </w:rPr>
              <w:t>合同签订之日起3个月。</w:t>
            </w:r>
          </w:p>
          <w:p>
            <w:pPr>
              <w:spacing w:line="360" w:lineRule="auto"/>
              <w:rPr>
                <w:rFonts w:ascii="宋体" w:hAnsi="宋体" w:cs="宋体"/>
                <w:sz w:val="24"/>
                <w:szCs w:val="24"/>
              </w:rPr>
            </w:pPr>
            <w:r>
              <w:rPr>
                <w:rFonts w:hint="eastAsia" w:ascii="仿宋" w:hAnsi="仿宋" w:eastAsia="仿宋" w:cs="宋体"/>
                <w:bCs/>
                <w:sz w:val="24"/>
                <w:szCs w:val="24"/>
              </w:rPr>
              <w:t xml:space="preserve">（重要提示：请报价人充分考虑服务期内物价水平及人员薪金的调整因素。服务期内，本项目服务费不作调整。） </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pPr>
        <w:spacing w:line="560" w:lineRule="exact"/>
      </w:pPr>
      <w:bookmarkStart w:id="22" w:name="_Toc40762371"/>
      <w:bookmarkStart w:id="23" w:name="_Toc37331039"/>
      <w:bookmarkStart w:id="24" w:name="_Toc46308528"/>
      <w:bookmarkStart w:id="25" w:name="_Toc37245277"/>
      <w:bookmarkStart w:id="26" w:name="_Toc46308684"/>
      <w:bookmarkStart w:id="27" w:name="_Toc37663392"/>
      <w:bookmarkStart w:id="28" w:name="_Toc37581421"/>
      <w:bookmarkStart w:id="29" w:name="_Toc37331081"/>
      <w:bookmarkStart w:id="30" w:name="_Toc37569520"/>
    </w:p>
    <w:bookmarkEnd w:id="22"/>
    <w:bookmarkEnd w:id="23"/>
    <w:bookmarkEnd w:id="24"/>
    <w:bookmarkEnd w:id="25"/>
    <w:bookmarkEnd w:id="26"/>
    <w:bookmarkEnd w:id="27"/>
    <w:bookmarkEnd w:id="28"/>
    <w:bookmarkEnd w:id="29"/>
    <w:bookmarkEnd w:id="30"/>
    <w:p>
      <w:pPr>
        <w:widowControl w:val="0"/>
        <w:numPr>
          <w:ilvl w:val="0"/>
          <w:numId w:val="1"/>
        </w:numPr>
        <w:tabs>
          <w:tab w:val="left" w:pos="1134"/>
        </w:tabs>
        <w:spacing w:line="560" w:lineRule="exact"/>
        <w:ind w:left="567" w:hanging="27"/>
        <w:outlineLvl w:val="1"/>
        <w:rPr>
          <w:rFonts w:ascii="仿宋" w:hAnsi="仿宋" w:eastAsia="仿宋"/>
          <w:sz w:val="24"/>
          <w:szCs w:val="24"/>
        </w:rPr>
      </w:pPr>
      <w:bookmarkStart w:id="31" w:name="_Toc290467475"/>
      <w:bookmarkStart w:id="32" w:name="_Toc355963524"/>
      <w:r>
        <w:rPr>
          <w:rFonts w:hint="eastAsia" w:ascii="仿宋" w:hAnsi="仿宋" w:eastAsia="仿宋"/>
          <w:sz w:val="24"/>
          <w:szCs w:val="24"/>
        </w:rPr>
        <w:t>审计任务</w:t>
      </w:r>
      <w:bookmarkEnd w:id="31"/>
      <w:bookmarkEnd w:id="32"/>
    </w:p>
    <w:p>
      <w:pPr>
        <w:ind w:firstLine="477" w:firstLineChars="199"/>
        <w:rPr>
          <w:rFonts w:ascii="仿宋" w:hAnsi="仿宋" w:eastAsia="仿宋" w:cs="宋体"/>
          <w:sz w:val="24"/>
          <w:szCs w:val="24"/>
        </w:rPr>
      </w:pPr>
      <w:r>
        <w:rPr>
          <w:rFonts w:hint="eastAsia" w:ascii="仿宋" w:hAnsi="仿宋" w:eastAsia="仿宋" w:cs="宋体"/>
          <w:sz w:val="24"/>
          <w:szCs w:val="24"/>
        </w:rPr>
        <w:t>本项目确定1家成交供应商，</w:t>
      </w:r>
      <w:r>
        <w:rPr>
          <w:rFonts w:hint="eastAsia" w:ascii="仿宋" w:hAnsi="仿宋" w:eastAsia="仿宋" w:cs="Arial"/>
          <w:sz w:val="24"/>
          <w:szCs w:val="24"/>
        </w:rPr>
        <w:t>为采购人广州市白云区太和镇人民政府进行对太和镇辖下5个村：联社、各经济合作社和村属公司2018-2019年度的财务收支方面等相关事项进行专项审计及村民委员会成员的任期(2017年6</w:t>
      </w:r>
      <w:bookmarkStart w:id="41" w:name="_GoBack"/>
      <w:bookmarkEnd w:id="41"/>
      <w:r>
        <w:rPr>
          <w:rFonts w:hint="eastAsia" w:ascii="仿宋" w:hAnsi="仿宋" w:eastAsia="仿宋" w:cs="Arial"/>
          <w:sz w:val="24"/>
          <w:szCs w:val="24"/>
        </w:rPr>
        <w:t>月1日-2020年6月30日)经济责任审计</w:t>
      </w:r>
      <w:r>
        <w:rPr>
          <w:rFonts w:hint="eastAsia" w:ascii="仿宋" w:hAnsi="仿宋" w:eastAsia="仿宋" w:cs="Arial"/>
          <w:sz w:val="24"/>
          <w:szCs w:val="24"/>
          <w:lang w:eastAsia="zh-CN"/>
        </w:rPr>
        <w:t>。审计服务范围：沙亭村、和龙村、白山村、石湖村、永兴村。</w:t>
      </w:r>
    </w:p>
    <w:p>
      <w:pPr>
        <w:widowControl w:val="0"/>
        <w:numPr>
          <w:ilvl w:val="0"/>
          <w:numId w:val="1"/>
        </w:numPr>
        <w:tabs>
          <w:tab w:val="left" w:pos="709"/>
          <w:tab w:val="left" w:pos="1134"/>
        </w:tabs>
        <w:spacing w:line="560" w:lineRule="exact"/>
        <w:ind w:left="567" w:hanging="27"/>
        <w:outlineLvl w:val="1"/>
        <w:rPr>
          <w:rFonts w:ascii="仿宋" w:hAnsi="仿宋" w:eastAsia="仿宋"/>
          <w:sz w:val="24"/>
          <w:szCs w:val="24"/>
        </w:rPr>
      </w:pPr>
      <w:bookmarkStart w:id="33" w:name="_Toc290467477"/>
      <w:bookmarkStart w:id="34" w:name="_Toc355963526"/>
      <w:r>
        <w:rPr>
          <w:rFonts w:hint="eastAsia" w:ascii="仿宋" w:hAnsi="仿宋" w:eastAsia="仿宋"/>
          <w:sz w:val="24"/>
          <w:szCs w:val="24"/>
        </w:rPr>
        <w:t>审计服务要求</w:t>
      </w:r>
      <w:bookmarkEnd w:id="33"/>
      <w:bookmarkEnd w:id="34"/>
    </w:p>
    <w:p>
      <w:pPr>
        <w:widowControl w:val="0"/>
        <w:numPr>
          <w:ilvl w:val="0"/>
          <w:numId w:val="2"/>
        </w:numPr>
        <w:tabs>
          <w:tab w:val="left" w:pos="1134"/>
          <w:tab w:val="clear" w:pos="720"/>
        </w:tabs>
        <w:spacing w:line="560" w:lineRule="exact"/>
        <w:ind w:left="2" w:firstLine="422" w:firstLineChars="176"/>
        <w:jc w:val="both"/>
        <w:rPr>
          <w:rFonts w:ascii="仿宋" w:hAnsi="仿宋" w:eastAsia="仿宋"/>
          <w:sz w:val="24"/>
          <w:szCs w:val="24"/>
        </w:rPr>
      </w:pPr>
      <w:r>
        <w:rPr>
          <w:rFonts w:hint="eastAsia" w:ascii="仿宋" w:hAnsi="仿宋" w:eastAsia="仿宋"/>
          <w:sz w:val="24"/>
          <w:szCs w:val="24"/>
        </w:rPr>
        <w:t>对事务所的要求：应为《注册会计师行业诚信自律公约》履约单位（以注册会计师协会诚信自律委员会公告名单为准）；</w:t>
      </w:r>
    </w:p>
    <w:p>
      <w:pPr>
        <w:widowControl w:val="0"/>
        <w:numPr>
          <w:ilvl w:val="0"/>
          <w:numId w:val="2"/>
        </w:numPr>
        <w:tabs>
          <w:tab w:val="left" w:pos="284"/>
          <w:tab w:val="left" w:pos="1134"/>
          <w:tab w:val="clear" w:pos="720"/>
        </w:tabs>
        <w:spacing w:line="560" w:lineRule="exact"/>
        <w:ind w:left="0" w:firstLine="424" w:firstLineChars="177"/>
        <w:jc w:val="both"/>
        <w:rPr>
          <w:rFonts w:ascii="仿宋" w:hAnsi="仿宋" w:eastAsia="仿宋"/>
          <w:sz w:val="24"/>
          <w:szCs w:val="24"/>
        </w:rPr>
      </w:pPr>
      <w:r>
        <w:rPr>
          <w:rFonts w:hint="eastAsia" w:ascii="仿宋" w:hAnsi="仿宋" w:eastAsia="仿宋"/>
          <w:sz w:val="24"/>
          <w:szCs w:val="24"/>
        </w:rPr>
        <w:t>审计依据：《会计法》、《行政单位财务规则》、《行政</w:t>
      </w:r>
      <w:r>
        <w:rPr>
          <w:rFonts w:ascii="仿宋" w:hAnsi="仿宋" w:eastAsia="仿宋"/>
          <w:sz w:val="24"/>
          <w:szCs w:val="24"/>
        </w:rPr>
        <w:t>单位会计制度</w:t>
      </w:r>
      <w:r>
        <w:rPr>
          <w:rFonts w:hint="eastAsia" w:ascii="仿宋" w:hAnsi="仿宋" w:eastAsia="仿宋"/>
          <w:sz w:val="24"/>
          <w:szCs w:val="24"/>
        </w:rPr>
        <w:t>》、《事业单位财务规则》、《事业单位会计制度》和参照行政事业单位内部控制规范准则的最新精神；</w:t>
      </w:r>
    </w:p>
    <w:p>
      <w:pPr>
        <w:widowControl w:val="0"/>
        <w:numPr>
          <w:ilvl w:val="0"/>
          <w:numId w:val="2"/>
        </w:numPr>
        <w:tabs>
          <w:tab w:val="left" w:pos="1134"/>
          <w:tab w:val="clear" w:pos="720"/>
        </w:tabs>
        <w:spacing w:line="560" w:lineRule="exact"/>
        <w:ind w:left="0" w:firstLine="424" w:firstLineChars="177"/>
        <w:jc w:val="both"/>
        <w:rPr>
          <w:rFonts w:ascii="仿宋" w:hAnsi="仿宋" w:eastAsia="仿宋"/>
          <w:sz w:val="24"/>
          <w:szCs w:val="24"/>
        </w:rPr>
      </w:pPr>
      <w:r>
        <w:rPr>
          <w:rFonts w:hint="eastAsia" w:ascii="仿宋" w:hAnsi="仿宋" w:eastAsia="仿宋"/>
          <w:sz w:val="24"/>
          <w:szCs w:val="24"/>
        </w:rPr>
        <w:t>对参加本</w:t>
      </w:r>
      <w:r>
        <w:rPr>
          <w:rFonts w:ascii="仿宋" w:hAnsi="仿宋" w:eastAsia="仿宋"/>
          <w:sz w:val="24"/>
          <w:szCs w:val="24"/>
        </w:rPr>
        <w:t>项目</w:t>
      </w:r>
      <w:r>
        <w:rPr>
          <w:rFonts w:hint="eastAsia" w:ascii="仿宋" w:hAnsi="仿宋" w:eastAsia="仿宋"/>
          <w:sz w:val="24"/>
          <w:szCs w:val="24"/>
        </w:rPr>
        <w:t>审计人员的要求</w:t>
      </w:r>
    </w:p>
    <w:p>
      <w:pPr>
        <w:numPr>
          <w:ilvl w:val="1"/>
          <w:numId w:val="3"/>
        </w:numPr>
        <w:tabs>
          <w:tab w:val="left" w:pos="426"/>
          <w:tab w:val="left" w:pos="851"/>
          <w:tab w:val="clear" w:pos="840"/>
        </w:tabs>
        <w:spacing w:line="560" w:lineRule="exact"/>
        <w:ind w:left="0" w:firstLine="426"/>
        <w:rPr>
          <w:rFonts w:ascii="仿宋" w:hAnsi="仿宋" w:eastAsia="仿宋"/>
          <w:sz w:val="24"/>
          <w:szCs w:val="24"/>
        </w:rPr>
      </w:pPr>
      <w:r>
        <w:rPr>
          <w:rFonts w:hint="eastAsia" w:ascii="仿宋" w:hAnsi="仿宋" w:eastAsia="仿宋"/>
          <w:sz w:val="24"/>
          <w:szCs w:val="24"/>
        </w:rPr>
        <w:t>带队审计人员具有会计师或注册会计师资格，在事务所连续执业三年或以上；</w:t>
      </w:r>
    </w:p>
    <w:p>
      <w:pPr>
        <w:numPr>
          <w:ilvl w:val="1"/>
          <w:numId w:val="3"/>
        </w:numPr>
        <w:tabs>
          <w:tab w:val="left" w:pos="426"/>
          <w:tab w:val="left" w:pos="851"/>
          <w:tab w:val="clear" w:pos="840"/>
        </w:tabs>
        <w:spacing w:line="560" w:lineRule="exact"/>
        <w:ind w:left="0" w:firstLine="426"/>
        <w:rPr>
          <w:rFonts w:ascii="仿宋" w:hAnsi="仿宋" w:eastAsia="仿宋"/>
          <w:sz w:val="24"/>
          <w:szCs w:val="24"/>
        </w:rPr>
      </w:pPr>
      <w:r>
        <w:rPr>
          <w:rFonts w:hint="eastAsia" w:ascii="仿宋" w:hAnsi="仿宋" w:eastAsia="仿宋"/>
          <w:sz w:val="24"/>
          <w:szCs w:val="24"/>
        </w:rPr>
        <w:t>熟悉财政科技、财务会计政策，对企业、事业单位财务管理和会计业务有充分了解，具有较强的业务能力和良好的职业道德；</w:t>
      </w:r>
    </w:p>
    <w:p>
      <w:pPr>
        <w:numPr>
          <w:ilvl w:val="1"/>
          <w:numId w:val="3"/>
        </w:numPr>
        <w:tabs>
          <w:tab w:val="left" w:pos="426"/>
          <w:tab w:val="left" w:pos="851"/>
          <w:tab w:val="clear" w:pos="840"/>
        </w:tabs>
        <w:spacing w:line="560" w:lineRule="exact"/>
        <w:ind w:left="0" w:firstLine="420"/>
        <w:rPr>
          <w:rFonts w:ascii="仿宋" w:hAnsi="仿宋" w:eastAsia="仿宋"/>
          <w:sz w:val="24"/>
          <w:szCs w:val="24"/>
        </w:rPr>
      </w:pPr>
      <w:r>
        <w:rPr>
          <w:rFonts w:hint="eastAsia" w:ascii="仿宋" w:hAnsi="仿宋" w:eastAsia="仿宋"/>
          <w:sz w:val="24"/>
          <w:szCs w:val="24"/>
        </w:rPr>
        <w:t>已进入2019年广州市政府采购审计定点服务资格中标供应商名录；</w:t>
      </w:r>
    </w:p>
    <w:p>
      <w:pPr>
        <w:numPr>
          <w:ilvl w:val="1"/>
          <w:numId w:val="3"/>
        </w:numPr>
        <w:tabs>
          <w:tab w:val="left" w:pos="426"/>
          <w:tab w:val="clear" w:pos="840"/>
        </w:tabs>
        <w:spacing w:line="560" w:lineRule="exact"/>
        <w:ind w:left="0" w:firstLine="420"/>
        <w:rPr>
          <w:rFonts w:ascii="仿宋" w:hAnsi="仿宋" w:eastAsia="仿宋"/>
          <w:sz w:val="24"/>
          <w:szCs w:val="24"/>
        </w:rPr>
      </w:pPr>
      <w:r>
        <w:rPr>
          <w:rFonts w:hint="eastAsia" w:ascii="仿宋" w:hAnsi="仿宋" w:eastAsia="仿宋" w:cs="宋体"/>
          <w:sz w:val="24"/>
          <w:szCs w:val="24"/>
        </w:rPr>
        <w:t>中标供应商需派出充足、合格的不少于3名以上的工作人员进行本项目的审计。</w:t>
      </w:r>
    </w:p>
    <w:p>
      <w:pPr>
        <w:numPr>
          <w:ilvl w:val="1"/>
          <w:numId w:val="3"/>
        </w:numPr>
        <w:spacing w:line="560" w:lineRule="exact"/>
        <w:rPr>
          <w:rFonts w:ascii="仿宋" w:hAnsi="仿宋" w:eastAsia="仿宋"/>
          <w:sz w:val="24"/>
          <w:szCs w:val="24"/>
        </w:rPr>
      </w:pPr>
      <w:r>
        <w:rPr>
          <w:rFonts w:hint="eastAsia" w:ascii="仿宋" w:hAnsi="仿宋" w:eastAsia="仿宋"/>
          <w:sz w:val="24"/>
          <w:szCs w:val="24"/>
        </w:rPr>
        <w:t>具体业务由采购人根据实际工作量统一分配。</w:t>
      </w:r>
    </w:p>
    <w:p>
      <w:pPr>
        <w:spacing w:line="560" w:lineRule="exact"/>
        <w:ind w:left="840"/>
        <w:rPr>
          <w:rFonts w:ascii="仿宋" w:hAnsi="仿宋" w:eastAsia="仿宋"/>
          <w:sz w:val="24"/>
          <w:szCs w:val="24"/>
        </w:rPr>
      </w:pPr>
    </w:p>
    <w:p>
      <w:pPr>
        <w:widowControl w:val="0"/>
        <w:numPr>
          <w:ilvl w:val="0"/>
          <w:numId w:val="1"/>
        </w:numPr>
        <w:tabs>
          <w:tab w:val="left" w:pos="993"/>
          <w:tab w:val="left" w:pos="1134"/>
        </w:tabs>
        <w:spacing w:line="560" w:lineRule="exact"/>
        <w:ind w:left="426" w:firstLine="0"/>
        <w:outlineLvl w:val="1"/>
        <w:rPr>
          <w:rFonts w:ascii="仿宋" w:hAnsi="仿宋" w:eastAsia="仿宋"/>
          <w:sz w:val="24"/>
          <w:szCs w:val="24"/>
        </w:rPr>
      </w:pPr>
      <w:r>
        <w:rPr>
          <w:rFonts w:hint="eastAsia" w:ascii="仿宋" w:hAnsi="仿宋" w:eastAsia="仿宋"/>
          <w:sz w:val="24"/>
          <w:szCs w:val="24"/>
        </w:rPr>
        <w:t>违约条款</w:t>
      </w:r>
    </w:p>
    <w:p>
      <w:pPr>
        <w:widowControl w:val="0"/>
        <w:spacing w:line="560" w:lineRule="exact"/>
        <w:ind w:firstLine="424" w:firstLineChars="177"/>
        <w:jc w:val="both"/>
        <w:rPr>
          <w:rFonts w:ascii="仿宋" w:hAnsi="仿宋" w:eastAsia="仿宋"/>
          <w:sz w:val="24"/>
          <w:szCs w:val="24"/>
        </w:rPr>
      </w:pPr>
      <w:r>
        <w:rPr>
          <w:rFonts w:hint="eastAsia" w:ascii="仿宋" w:hAnsi="仿宋" w:eastAsia="仿宋"/>
          <w:sz w:val="24"/>
          <w:szCs w:val="24"/>
        </w:rPr>
        <w:t>如成交供应商未经同意更换主要的审计组人员（特别是带队人员），采购人有权取消审计资格。</w:t>
      </w:r>
    </w:p>
    <w:p>
      <w:pPr>
        <w:widowControl w:val="0"/>
        <w:spacing w:line="560" w:lineRule="exact"/>
        <w:ind w:firstLine="424" w:firstLineChars="177"/>
        <w:jc w:val="both"/>
        <w:rPr>
          <w:rFonts w:ascii="仿宋" w:hAnsi="仿宋" w:eastAsia="仿宋"/>
          <w:sz w:val="24"/>
          <w:szCs w:val="24"/>
        </w:rPr>
      </w:pPr>
    </w:p>
    <w:p>
      <w:pPr>
        <w:widowControl w:val="0"/>
        <w:numPr>
          <w:ilvl w:val="0"/>
          <w:numId w:val="1"/>
        </w:numPr>
        <w:tabs>
          <w:tab w:val="left" w:pos="343"/>
          <w:tab w:val="left" w:pos="993"/>
        </w:tabs>
        <w:spacing w:line="560" w:lineRule="exact"/>
        <w:ind w:left="567" w:hanging="141"/>
        <w:outlineLvl w:val="1"/>
        <w:rPr>
          <w:rFonts w:ascii="仿宋" w:hAnsi="仿宋" w:eastAsia="仿宋"/>
          <w:sz w:val="24"/>
          <w:szCs w:val="24"/>
        </w:rPr>
      </w:pPr>
      <w:bookmarkStart w:id="35" w:name="_Toc355963527"/>
      <w:bookmarkStart w:id="36" w:name="_Toc290467478"/>
      <w:r>
        <w:rPr>
          <w:rFonts w:hint="eastAsia" w:ascii="仿宋" w:hAnsi="仿宋" w:eastAsia="仿宋"/>
          <w:sz w:val="24"/>
          <w:szCs w:val="24"/>
        </w:rPr>
        <w:t>报价要求</w:t>
      </w:r>
      <w:bookmarkEnd w:id="35"/>
      <w:bookmarkEnd w:id="36"/>
    </w:p>
    <w:p>
      <w:pPr>
        <w:widowControl w:val="0"/>
        <w:spacing w:line="560" w:lineRule="exact"/>
        <w:ind w:firstLine="240"/>
        <w:jc w:val="both"/>
        <w:rPr>
          <w:rFonts w:ascii="仿宋" w:hAnsi="仿宋" w:eastAsia="仿宋" w:cs="宋体"/>
          <w:sz w:val="24"/>
          <w:szCs w:val="24"/>
        </w:rPr>
      </w:pPr>
      <w:r>
        <w:rPr>
          <w:rFonts w:hint="eastAsia" w:ascii="仿宋" w:hAnsi="仿宋" w:eastAsia="仿宋" w:cs="宋体"/>
          <w:sz w:val="24"/>
          <w:szCs w:val="24"/>
        </w:rPr>
        <w:t>（一）计费标准：可以参照粤价[2011]313号收费标准中“计件收费：财务报表审计”为基础起价或者“计时收费”计算专项审计或者年度审计；以每个项目的项目整体资金为计算基数。</w:t>
      </w:r>
    </w:p>
    <w:p>
      <w:pPr>
        <w:widowControl w:val="0"/>
        <w:spacing w:line="560" w:lineRule="exact"/>
        <w:ind w:firstLine="283" w:firstLineChars="118"/>
        <w:jc w:val="both"/>
        <w:rPr>
          <w:rFonts w:ascii="仿宋" w:hAnsi="仿宋" w:eastAsia="仿宋"/>
          <w:sz w:val="24"/>
          <w:szCs w:val="24"/>
        </w:rPr>
      </w:pPr>
      <w:r>
        <w:rPr>
          <w:rFonts w:hint="eastAsia" w:ascii="仿宋" w:hAnsi="仿宋" w:eastAsia="仿宋" w:cs="宋体"/>
          <w:sz w:val="24"/>
          <w:szCs w:val="24"/>
        </w:rPr>
        <w:t>（二）</w:t>
      </w:r>
      <w:r>
        <w:rPr>
          <w:rFonts w:hint="eastAsia" w:ascii="仿宋" w:hAnsi="仿宋" w:eastAsia="仿宋"/>
          <w:sz w:val="24"/>
          <w:szCs w:val="24"/>
        </w:rPr>
        <w:t>投标人的投标报价已包括完成本项目工作所需的审计费用和市内交通费、误餐费等各项杂费以及税费。</w:t>
      </w:r>
    </w:p>
    <w:p>
      <w:pPr>
        <w:widowControl w:val="0"/>
        <w:spacing w:line="560" w:lineRule="exact"/>
        <w:jc w:val="both"/>
        <w:rPr>
          <w:rFonts w:ascii="仿宋" w:hAnsi="仿宋" w:eastAsia="仿宋"/>
          <w:sz w:val="24"/>
          <w:szCs w:val="24"/>
        </w:rPr>
      </w:pPr>
    </w:p>
    <w:p>
      <w:pPr>
        <w:widowControl w:val="0"/>
        <w:numPr>
          <w:ilvl w:val="0"/>
          <w:numId w:val="1"/>
        </w:numPr>
        <w:tabs>
          <w:tab w:val="left" w:pos="993"/>
        </w:tabs>
        <w:spacing w:line="560" w:lineRule="exact"/>
        <w:ind w:left="284" w:firstLine="142"/>
        <w:outlineLvl w:val="1"/>
        <w:rPr>
          <w:rFonts w:ascii="仿宋" w:hAnsi="仿宋" w:eastAsia="仿宋"/>
          <w:sz w:val="24"/>
          <w:szCs w:val="24"/>
        </w:rPr>
      </w:pPr>
      <w:bookmarkStart w:id="37" w:name="_Toc355963528"/>
      <w:bookmarkStart w:id="38" w:name="_Toc290467479"/>
      <w:bookmarkStart w:id="39" w:name="_Toc175644393"/>
      <w:bookmarkStart w:id="40" w:name="_Toc101951262"/>
      <w:r>
        <w:rPr>
          <w:rFonts w:hint="eastAsia" w:ascii="仿宋" w:hAnsi="仿宋" w:eastAsia="仿宋"/>
          <w:sz w:val="24"/>
          <w:szCs w:val="24"/>
        </w:rPr>
        <w:t>付款方式</w:t>
      </w:r>
      <w:bookmarkEnd w:id="37"/>
      <w:bookmarkEnd w:id="38"/>
      <w:bookmarkEnd w:id="39"/>
      <w:bookmarkEnd w:id="40"/>
    </w:p>
    <w:p>
      <w:pPr>
        <w:widowControl w:val="0"/>
        <w:tabs>
          <w:tab w:val="left" w:pos="0"/>
        </w:tabs>
        <w:spacing w:line="560" w:lineRule="exact"/>
        <w:ind w:firstLine="424" w:firstLineChars="177"/>
        <w:jc w:val="both"/>
        <w:rPr>
          <w:rFonts w:ascii="仿宋" w:hAnsi="仿宋" w:eastAsia="仿宋"/>
          <w:sz w:val="24"/>
          <w:szCs w:val="24"/>
        </w:rPr>
      </w:pPr>
      <w:r>
        <w:rPr>
          <w:rFonts w:hint="eastAsia" w:ascii="仿宋" w:hAnsi="仿宋" w:eastAsia="仿宋"/>
          <w:sz w:val="24"/>
          <w:szCs w:val="24"/>
        </w:rPr>
        <w:t>本项目费用在中标供应商提交正式的全部审计工作资料和报告后支付。</w:t>
      </w:r>
    </w:p>
    <w:p>
      <w:pPr>
        <w:widowControl w:val="0"/>
        <w:tabs>
          <w:tab w:val="left" w:pos="0"/>
        </w:tabs>
        <w:spacing w:line="360" w:lineRule="auto"/>
        <w:ind w:firstLine="424" w:firstLineChars="177"/>
        <w:jc w:val="both"/>
        <w:rPr>
          <w:rFonts w:ascii="仿宋" w:hAnsi="仿宋" w:eastAsia="仿宋"/>
          <w:sz w:val="24"/>
          <w:szCs w:val="24"/>
        </w:rPr>
      </w:pPr>
    </w:p>
    <w:p>
      <w:pPr>
        <w:widowControl w:val="0"/>
        <w:tabs>
          <w:tab w:val="left" w:pos="0"/>
        </w:tabs>
        <w:spacing w:line="360" w:lineRule="auto"/>
        <w:ind w:firstLine="424" w:firstLineChars="177"/>
        <w:jc w:val="both"/>
        <w:rPr>
          <w:rFonts w:ascii="仿宋" w:hAnsi="仿宋" w:eastAsia="仿宋"/>
          <w:sz w:val="24"/>
          <w:szCs w:val="24"/>
        </w:rPr>
      </w:pPr>
    </w:p>
    <w:p>
      <w:pPr>
        <w:widowControl w:val="0"/>
        <w:tabs>
          <w:tab w:val="left" w:pos="0"/>
        </w:tabs>
        <w:spacing w:line="360" w:lineRule="auto"/>
        <w:ind w:firstLine="371" w:firstLineChars="177"/>
        <w:jc w:val="both"/>
        <w:rPr>
          <w:rFonts w:ascii="仿宋" w:hAnsi="仿宋" w:eastAsia="仿宋"/>
          <w:sz w:val="24"/>
          <w:szCs w:val="24"/>
        </w:rPr>
      </w:pPr>
      <w:r>
        <w:rPr>
          <w:rFonts w:hint="eastAsia"/>
        </w:rPr>
        <w:t xml:space="preserve">                                   </w:t>
      </w:r>
    </w:p>
    <w:p/>
    <w:sectPr>
      <w:footerReference r:id="rId3" w:type="default"/>
      <w:pgSz w:w="11906" w:h="16838"/>
      <w:pgMar w:top="1553" w:right="1746" w:bottom="1553"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7D10"/>
    <w:multiLevelType w:val="multilevel"/>
    <w:tmpl w:val="23727D10"/>
    <w:lvl w:ilvl="0" w:tentative="0">
      <w:start w:val="1"/>
      <w:numFmt w:val="japaneseCounting"/>
      <w:lvlText w:val="（%1）"/>
      <w:lvlJc w:val="left"/>
      <w:pPr>
        <w:tabs>
          <w:tab w:val="left" w:pos="720"/>
        </w:tabs>
        <w:ind w:left="720" w:hanging="720"/>
      </w:pPr>
      <w:rPr>
        <w:rFonts w:hint="eastAsia" w:ascii="仿宋_GB2312" w:eastAsia="仿宋_GB2312"/>
        <w:sz w:val="24"/>
        <w:szCs w:val="24"/>
        <w:lang w:val="en-US"/>
      </w:rPr>
    </w:lvl>
    <w:lvl w:ilvl="1" w:tentative="0">
      <w:start w:val="1"/>
      <w:numFmt w:val="decimal"/>
      <w:lvlText w:val="%2、"/>
      <w:lvlJc w:val="left"/>
      <w:pPr>
        <w:tabs>
          <w:tab w:val="left" w:pos="840"/>
        </w:tabs>
        <w:ind w:left="840" w:hanging="420"/>
      </w:pPr>
      <w:rPr>
        <w:rFonts w:ascii="仿宋" w:hAnsi="仿宋" w:eastAsia="仿宋" w:cs="Times New Roman"/>
        <w:sz w:val="24"/>
        <w:szCs w:val="24"/>
        <w:lang w:val="en-US"/>
      </w:r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06B01BE"/>
    <w:multiLevelType w:val="multilevel"/>
    <w:tmpl w:val="406B01BE"/>
    <w:lvl w:ilvl="0" w:tentative="0">
      <w:start w:val="1"/>
      <w:numFmt w:val="chineseCountingThousand"/>
      <w:lvlText w:val="%1、"/>
      <w:lvlJc w:val="left"/>
      <w:pPr>
        <w:ind w:left="5285" w:hanging="425"/>
      </w:pPr>
      <w:rPr>
        <w:rFonts w:hint="eastAsia"/>
        <w:sz w:val="24"/>
        <w:szCs w:val="24"/>
      </w:rPr>
    </w:lvl>
    <w:lvl w:ilvl="1" w:tentative="0">
      <w:start w:val="2"/>
      <w:numFmt w:val="decimal"/>
      <w:lvlText w:val="%2、"/>
      <w:lvlJc w:val="left"/>
      <w:pPr>
        <w:ind w:left="5430" w:hanging="360"/>
      </w:pPr>
      <w:rPr>
        <w:rFonts w:hint="default"/>
      </w:rPr>
    </w:lvl>
    <w:lvl w:ilvl="2" w:tentative="0">
      <w:start w:val="1"/>
      <w:numFmt w:val="decimal"/>
      <w:lvlText w:val="%3."/>
      <w:lvlJc w:val="left"/>
      <w:pPr>
        <w:ind w:left="6278" w:hanging="567"/>
      </w:pPr>
      <w:rPr>
        <w:rFonts w:hint="eastAsia"/>
      </w:rPr>
    </w:lvl>
    <w:lvl w:ilvl="3" w:tentative="0">
      <w:start w:val="1"/>
      <w:numFmt w:val="decimal"/>
      <w:lvlText w:val="(%4)"/>
      <w:lvlJc w:val="left"/>
      <w:pPr>
        <w:ind w:left="6844" w:hanging="708"/>
      </w:pPr>
      <w:rPr>
        <w:rFonts w:hint="eastAsia"/>
      </w:rPr>
    </w:lvl>
    <w:lvl w:ilvl="4" w:tentative="0">
      <w:start w:val="1"/>
      <w:numFmt w:val="decimal"/>
      <w:lvlText w:val="%1.%2.%3.%4.%5"/>
      <w:lvlJc w:val="left"/>
      <w:pPr>
        <w:ind w:left="7411" w:hanging="850"/>
      </w:pPr>
      <w:rPr>
        <w:rFonts w:hint="eastAsia"/>
      </w:rPr>
    </w:lvl>
    <w:lvl w:ilvl="5" w:tentative="0">
      <w:start w:val="1"/>
      <w:numFmt w:val="decimal"/>
      <w:lvlText w:val="%1.%2.%3.%4.%5.%6"/>
      <w:lvlJc w:val="left"/>
      <w:pPr>
        <w:ind w:left="8120" w:hanging="1134"/>
      </w:pPr>
      <w:rPr>
        <w:rFonts w:hint="eastAsia"/>
      </w:rPr>
    </w:lvl>
    <w:lvl w:ilvl="6" w:tentative="0">
      <w:start w:val="1"/>
      <w:numFmt w:val="decimal"/>
      <w:lvlText w:val="%1.%2.%3.%4.%5.%6.%7"/>
      <w:lvlJc w:val="left"/>
      <w:pPr>
        <w:ind w:left="8687" w:hanging="1276"/>
      </w:pPr>
      <w:rPr>
        <w:rFonts w:hint="eastAsia"/>
      </w:rPr>
    </w:lvl>
    <w:lvl w:ilvl="7" w:tentative="0">
      <w:start w:val="1"/>
      <w:numFmt w:val="decimal"/>
      <w:lvlText w:val="%1.%2.%3.%4.%5.%6.%7.%8"/>
      <w:lvlJc w:val="left"/>
      <w:pPr>
        <w:ind w:left="9254" w:hanging="1418"/>
      </w:pPr>
      <w:rPr>
        <w:rFonts w:hint="eastAsia"/>
      </w:rPr>
    </w:lvl>
    <w:lvl w:ilvl="8" w:tentative="0">
      <w:start w:val="1"/>
      <w:numFmt w:val="decimal"/>
      <w:lvlText w:val="%1.%2.%3.%4.%5.%6.%7.%8.%9"/>
      <w:lvlJc w:val="left"/>
      <w:pPr>
        <w:ind w:left="9962" w:hanging="1700"/>
      </w:pPr>
      <w:rPr>
        <w:rFonts w:hint="eastAsia"/>
      </w:rPr>
    </w:lvl>
  </w:abstractNum>
  <w:abstractNum w:abstractNumId="2">
    <w:nsid w:val="74E25C50"/>
    <w:multiLevelType w:val="multilevel"/>
    <w:tmpl w:val="74E25C50"/>
    <w:lvl w:ilvl="0" w:tentative="0">
      <w:start w:val="1"/>
      <w:numFmt w:val="chineseCountingThousand"/>
      <w:lvlText w:val="(%1)"/>
      <w:lvlJc w:val="left"/>
      <w:pPr>
        <w:tabs>
          <w:tab w:val="left" w:pos="720"/>
        </w:tabs>
        <w:ind w:left="720" w:hanging="720"/>
      </w:pPr>
      <w:rPr>
        <w:rFonts w:hint="eastAsia"/>
        <w:b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4B64B3F"/>
    <w:rsid w:val="2F6D666E"/>
    <w:rsid w:val="627964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p141"/>
    <w:qFormat/>
    <w:uiPriority w:val="0"/>
    <w:rPr>
      <w:sz w:val="21"/>
      <w:szCs w:val="21"/>
    </w:rPr>
  </w:style>
  <w:style w:type="character" w:customStyle="1" w:styleId="7">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174</Words>
  <Characters>997</Characters>
  <Lines>8</Lines>
  <Paragraphs>2</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2019-07-24T07:49:00Z</dcterms:created>
  <dc:creator>+Y@n</dc:creator>
  <cp:lastModifiedBy>Administrator</cp:lastModifiedBy>
  <cp:lastPrinted>2020-03-25T02:30:00Z</cp:lastPrinted>
  <dcterms:modified xsi:type="dcterms:W3CDTF">2020-06-03T03:06:59Z</dcterms:modified>
  <dc:title>广州市白云区太和镇人民政府审计服务项目采购需求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