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72" w:leftChars="-85" w:right="-234" w:rightChars="-73"/>
        <w:jc w:val="center"/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  <w:t>广州市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  <w:lang w:eastAsia="zh-CN"/>
        </w:rPr>
        <w:t>白云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  <w:lang w:val="en-US" w:eastAsia="zh-CN"/>
        </w:rPr>
        <w:t>区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  <w:lang w:eastAsia="zh-CN"/>
        </w:rPr>
        <w:t>金沙街2020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  <w:t>年度行政许可</w:t>
      </w:r>
    </w:p>
    <w:p>
      <w:pPr>
        <w:spacing w:line="560" w:lineRule="exact"/>
        <w:ind w:left="-272" w:leftChars="-85" w:right="-234" w:rightChars="-73"/>
        <w:jc w:val="center"/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  <w:t>实施和监督管理情况报告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广东省行政许可监督管理条例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要求，现将我单位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2020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年行政许可实施和监督管理情况报告如下：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黑体" w:eastAsia="黑体" w:cs="Times New Roman"/>
          <w:spacing w:val="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020年，我街共有1项行政许可事项，为建设骨灰堂审批，已纳入广州市白云区行政审批事项目录，并进驻广东省政务服务事项管理系统(广东政务服务网)；2020年，我街该事项申请量0件，受理量0件，办结量0件。审批同意量0件审批不同意、网上受理量、网上全流程办结量均为0件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（一）依法实施情况。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我街严格按照《殡葬管理条例》</w:t>
      </w:r>
    </w:p>
    <w:p>
      <w:pPr>
        <w:spacing w:line="560" w:lineRule="exact"/>
        <w:ind w:firstLine="0" w:firstLineChars="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012年国务院令第628号修正)第三、八条以及《广东省人民政府关于调整实施一批省级权责清单事项的决定》(广东省人民政府令第270号)附件2：委托事项清单序号45规定的条款内容开展审批工作，不存在变相设定和实施行政审批情况。做到及时审批，适时办结，审批文件及时整理归档，审批结果及时公开公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（二）公开公示情况。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2020年，我街已通过白云信息网向全社会公开行政许可事项的实施主体、依据、程序、条件、期限、裁量标准、咨询投诉途径等信息，及时向社会和相关单位公开行政许可实施和结果情况。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spacing w:val="0"/>
          <w:sz w:val="32"/>
          <w:szCs w:val="32"/>
        </w:rPr>
        <w:t>监督管理情况</w:t>
      </w:r>
      <w:r>
        <w:rPr>
          <w:rFonts w:ascii="Times New Roman" w:hAnsi="Times New Roman" w:eastAsia="楷体_GB2312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我街制定事项监管标准，对从事</w:t>
      </w:r>
    </w:p>
    <w:p>
      <w:pPr>
        <w:spacing w:line="560" w:lineRule="exact"/>
        <w:ind w:firstLine="0" w:firstLineChars="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行政许可事项工作进行自查，未发现违法违规情况。在广东政务服务网公开咨询和投诉电话、办公地址，接受群众的投诉举报。主动接受社会监督，建立有效投诉机制，加强内部监督管理，完善和落实行政审批工作责任制。2020年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金沙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街未接收到因建设骨灰堂审批的群众举报及相关投诉等情况。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（四）实施效果情况。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针对现有的行政许可审批事项，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我街贯彻落实“不跑少跑，一次办好”政务服务改革工作的要求，简化材料清单，优化办事流程，压减审批服务事项实际办理时限。严格执行一次性告知制度和服务承诺制度，并设专人负责并及时解答申请人提出的疑问，努力提高审批工作效率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（五）创新方式情况。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我街积极开展“不跑少跑，一次办好”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政务改革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“前台综合受理、后台审批”的集成政务服务模式。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整合压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缩减少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1个受理窗口，有效提高了窗口服务资源利用率。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积极推动我街“好差评”评价培训，为窗口服务人员开展相关专业业务培训与政务服务素质培训。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楷体_GB2312" w:cs="Times New Roman"/>
          <w:spacing w:val="0"/>
          <w:sz w:val="32"/>
          <w:szCs w:val="32"/>
        </w:rPr>
        <w:t>（六）推行标准化情况。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我街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按照广东政务服务网公示行政许可事项，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规范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各项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事项名称、实施依据、申请条件、申请材料、办理时限、受理范围等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，并整理制作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《办事指南》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，便于群众查阅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黑体" w:eastAsia="黑体" w:cs="Times New Roman"/>
          <w:spacing w:val="0"/>
          <w:sz w:val="32"/>
          <w:szCs w:val="32"/>
        </w:rPr>
        <w:t>二、存在问题和困难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虽然我街在实践行政许可及监督管理工作上取得了一定成绩，但也存在几点不足。一是行政审批各项制度建设需进步完善，二是窗口服务人员业务培训工作需进一步加强，三是行政审批事项宣传推广力度需进一步加大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黑体" w:eastAsia="黑体" w:cs="Times New Roman"/>
          <w:spacing w:val="0"/>
          <w:sz w:val="32"/>
          <w:szCs w:val="32"/>
        </w:rPr>
        <w:t>三、下一步工作措施及有关建议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(一)我街将按照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“不跑少跑，一次办好”政务服务改革工作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要求，继续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推进政务服务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改革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工作，及时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区级相关部门沟通，并积极向其他单位学习成功经验，从工作中累计经验。继续完善中心制度，为群众提供贴心服务、为企业提供优质营商环境。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(二)进一步完善和提高规范建设水平，不断创新工作方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式，提高服务素质和业务能力，进一步强化为群众服务的思想和态度。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(三)进一步完善网上办事大厅建设，对网上办事大厅的</w:t>
      </w:r>
    </w:p>
    <w:p>
      <w:pPr>
        <w:spacing w:line="560" w:lineRule="exact"/>
        <w:ind w:firstLine="0" w:firstLineChars="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各项数据进行全面审核，查漏补缺。积极配合上级部门与各部门业务系统的对接，实现资源共享，提高审批效率。</w:t>
      </w:r>
    </w:p>
    <w:p>
      <w:pPr>
        <w:rPr>
          <w:rFonts w:eastAsia="黑体"/>
        </w:rPr>
      </w:pPr>
    </w:p>
    <w:p>
      <w:pPr>
        <w:pStyle w:val="2"/>
        <w:wordWrap w:val="0"/>
        <w:jc w:val="right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金沙街道办事处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lang w:val="en-US" w:eastAsia="zh-CN"/>
        </w:rPr>
        <w:t>2021年3月25日</w:t>
      </w:r>
    </w:p>
    <w:p>
      <w:pPr>
        <w:rPr>
          <w:rFonts w:hint="eastAsia"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</w:rPr>
        <w:t>附件2</w:t>
      </w:r>
    </w:p>
    <w:p>
      <w:pPr>
        <w:widowControl/>
        <w:spacing w:line="720" w:lineRule="exact"/>
        <w:jc w:val="center"/>
        <w:rPr>
          <w:rFonts w:ascii="方正小标宋_GBK" w:hAnsi="Times New Roman" w:eastAsia="方正小标宋_GBK" w:cs="Times New Roman"/>
          <w:spacing w:val="0"/>
          <w:sz w:val="44"/>
          <w:szCs w:val="44"/>
        </w:rPr>
      </w:pPr>
      <w:r>
        <w:rPr>
          <w:rFonts w:ascii="方正小标宋_GBK" w:hAnsi="Times New Roman" w:eastAsia="方正小标宋_GBK" w:cs="Times New Roman"/>
          <w:spacing w:val="0"/>
          <w:sz w:val="44"/>
          <w:szCs w:val="44"/>
        </w:rPr>
        <w:t>广州市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  <w:lang w:eastAsia="zh-CN"/>
        </w:rPr>
        <w:t>白云</w:t>
      </w:r>
      <w:r>
        <w:rPr>
          <w:rFonts w:hint="eastAsia" w:ascii="方正小标宋_GBK" w:hAnsi="Times New Roman" w:cs="Times New Roman"/>
          <w:spacing w:val="0"/>
          <w:sz w:val="44"/>
          <w:szCs w:val="44"/>
          <w:lang w:eastAsia="zh-CN"/>
        </w:rPr>
        <w:t>区金沙街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  <w:lang w:eastAsia="zh-CN"/>
        </w:rPr>
        <w:t>2020</w:t>
      </w:r>
      <w:r>
        <w:rPr>
          <w:rFonts w:ascii="方正小标宋_GBK" w:hAnsi="Times New Roman" w:eastAsia="方正小标宋_GBK" w:cs="Times New Roman"/>
          <w:spacing w:val="0"/>
          <w:sz w:val="44"/>
          <w:szCs w:val="44"/>
        </w:rPr>
        <w:t>年度行政许可实施和监督管理情况表</w:t>
      </w:r>
    </w:p>
    <w:p>
      <w:pPr>
        <w:rPr>
          <w:rFonts w:ascii="Times New Roman" w:hAnsi="Times New Roman" w:eastAsia="宋体" w:cs="Times New Roman"/>
          <w:spacing w:val="0"/>
          <w:sz w:val="21"/>
          <w:szCs w:val="24"/>
        </w:rPr>
      </w:pPr>
    </w:p>
    <w:tbl>
      <w:tblPr>
        <w:tblStyle w:val="5"/>
        <w:tblW w:w="15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0"/>
        <w:gridCol w:w="750"/>
        <w:gridCol w:w="636"/>
        <w:gridCol w:w="825"/>
        <w:gridCol w:w="453"/>
        <w:gridCol w:w="453"/>
        <w:gridCol w:w="454"/>
        <w:gridCol w:w="453"/>
        <w:gridCol w:w="454"/>
        <w:gridCol w:w="453"/>
        <w:gridCol w:w="454"/>
        <w:gridCol w:w="655"/>
        <w:gridCol w:w="750"/>
        <w:gridCol w:w="567"/>
        <w:gridCol w:w="709"/>
        <w:gridCol w:w="709"/>
        <w:gridCol w:w="723"/>
        <w:gridCol w:w="836"/>
        <w:gridCol w:w="851"/>
        <w:gridCol w:w="850"/>
        <w:gridCol w:w="851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审批事项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是否纳入</w:t>
            </w:r>
            <w:r>
              <w:rPr>
                <w:rFonts w:hint="eastAsia" w:ascii="Times New Roman" w:hAnsi="宋体" w:eastAsia="宋体" w:cs="Times New Roman"/>
                <w:spacing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是否进驻</w:t>
            </w:r>
            <w:r>
              <w:rPr>
                <w:rFonts w:hint="eastAsia" w:ascii="Times New Roman" w:hAnsi="宋体" w:eastAsia="宋体" w:cs="Times New Roman"/>
                <w:spacing w:val="0"/>
                <w:sz w:val="21"/>
                <w:szCs w:val="21"/>
                <w:lang w:eastAsia="zh-CN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全年业务量（件）</w:t>
            </w:r>
          </w:p>
        </w:tc>
        <w:tc>
          <w:tcPr>
            <w:tcW w:w="3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实施过程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事项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子项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申请量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受理量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不受理量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承诺办结期限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实际平均办结时间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是否向社会公开审批结果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是否公开办事指南和业务手册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是否制定监管标准或制度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查处违法违规行为件数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建设骨灰堂审批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10个工作日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10个工作日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1个工作日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10个工作日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10个工作日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1个工作日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Times New Roman" w:hAnsi="Times New Roman" w:eastAsia="宋体" w:cs="Times New Roman"/>
          <w:spacing w:val="0"/>
          <w:sz w:val="21"/>
          <w:szCs w:val="21"/>
        </w:rPr>
      </w:pPr>
      <w:r>
        <w:rPr>
          <w:rFonts w:ascii="Times New Roman" w:hAnsi="宋体" w:eastAsia="宋体" w:cs="Times New Roman"/>
          <w:spacing w:val="0"/>
          <w:sz w:val="21"/>
          <w:szCs w:val="21"/>
        </w:rPr>
        <w:t>注：表格中选项为是的打</w:t>
      </w:r>
      <w:r>
        <w:rPr>
          <w:rFonts w:ascii="Times New Roman" w:hAnsi="Times New Roman" w:eastAsia="宋体" w:cs="Times New Roman"/>
          <w:spacing w:val="0"/>
          <w:sz w:val="21"/>
          <w:szCs w:val="21"/>
        </w:rPr>
        <w:t>“√”</w:t>
      </w:r>
      <w:r>
        <w:rPr>
          <w:rFonts w:ascii="Times New Roman" w:hAnsi="宋体" w:eastAsia="宋体" w:cs="Times New Roman"/>
          <w:spacing w:val="0"/>
          <w:sz w:val="21"/>
          <w:szCs w:val="21"/>
        </w:rPr>
        <w:t>，否的打</w:t>
      </w:r>
      <w:r>
        <w:rPr>
          <w:rFonts w:ascii="Times New Roman" w:hAnsi="Times New Roman" w:eastAsia="宋体" w:cs="Times New Roman"/>
          <w:spacing w:val="0"/>
          <w:sz w:val="21"/>
          <w:szCs w:val="21"/>
        </w:rPr>
        <w:t>“×”</w:t>
      </w:r>
      <w:r>
        <w:rPr>
          <w:rFonts w:ascii="Times New Roman" w:hAnsi="宋体" w:eastAsia="宋体" w:cs="Times New Roman"/>
          <w:spacing w:val="0"/>
          <w:sz w:val="21"/>
          <w:szCs w:val="21"/>
        </w:rPr>
        <w:t>。</w:t>
      </w:r>
    </w:p>
    <w:p>
      <w:pPr>
        <w:ind w:firstLine="624"/>
        <w:rPr>
          <w:sz w:val="24"/>
        </w:rPr>
        <w:sectPr>
          <w:pgSz w:w="16838" w:h="11906" w:orient="landscape"/>
          <w:pgMar w:top="1418" w:right="1134" w:bottom="1134" w:left="1134" w:header="851" w:footer="851" w:gutter="0"/>
          <w:pgNumType w:fmt="decimal"/>
          <w:cols w:space="720" w:num="1"/>
          <w:docGrid w:type="lines" w:linePitch="438" w:charSpace="-1683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757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7"/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40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79w6r0wAAAAgBAAAPAAAA&#10;AAAAAAEAIAAAACIAAABkcnMvZG93bnJldi54bWxQSwECFAAUAAAACACHTuJAwWsaFagBAAA5AwAA&#10;DgAAAAAAAAABACAAAAAi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7"/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40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v3DqvTAAAACAEAAA8AAAAA&#10;AAAAAQAgAAAAIgAAAGRycy9kb3ducmV2LnhtbFBLAQIUABQAAAAIAIdO4kCqVTn3pwEAADk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spacing w:val="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金沙街</Company>
  <Pages>1</Pages>
  <Words>2314</Words>
  <Characters>2418</Characters>
  <Paragraphs>225</Paragraphs>
  <TotalTime>4</TotalTime>
  <ScaleCrop>false</ScaleCrop>
  <LinksUpToDate>false</LinksUpToDate>
  <CharactersWithSpaces>2499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2021-03-26T09:24:00Z</dcterms:created>
  <dc:creator>金沙街道办事处</dc:creator>
  <cp:lastModifiedBy>杜小雨是也！</cp:lastModifiedBy>
  <dcterms:modified xsi:type="dcterms:W3CDTF">2021-03-29T06:08:57Z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