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现场勘察表</w:t>
      </w:r>
    </w:p>
    <w:p>
      <w:pPr>
        <w:spacing w:line="560" w:lineRule="exact"/>
        <w:jc w:val="left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编号：                                     年   月   日</w:t>
      </w:r>
    </w:p>
    <w:tbl>
      <w:tblPr>
        <w:tblStyle w:val="2"/>
        <w:tblpPr w:leftFromText="180" w:rightFromText="180" w:vertAnchor="text" w:horzAnchor="page" w:tblpX="1456" w:tblpY="76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69"/>
        <w:gridCol w:w="1693"/>
        <w:gridCol w:w="1171"/>
        <w:gridCol w:w="86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申请人/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申请单位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经营场所建筑面积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宋体" w:hAnsi="Times New Roman"/>
                <w:sz w:val="32"/>
                <w:szCs w:val="32"/>
              </w:rPr>
              <w:t xml:space="preserve">   ㎡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经营地址</w:t>
            </w:r>
          </w:p>
        </w:tc>
        <w:tc>
          <w:tcPr>
            <w:tcW w:w="7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</w:trPr>
        <w:tc>
          <w:tcPr>
            <w:tcW w:w="9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一、是否列入政府征用或违法用地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0" w:leftChars="0" w:hanging="420" w:firstLineChars="0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二、是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否属于规划范围内或未经国土、规划、建设等相关部门审批，擅自新建、改建、扩建的；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0" w:leftChars="0" w:hanging="420" w:firstLineChars="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存在堵塞和围蔽消防通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道造成安全隐患的；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0" w:leftChars="0" w:hanging="420" w:firstLineChars="0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四、是否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按照大源街出租屋准入“十条标准”配置消防设施的；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五、是否存在严重污染环境影响人们生活财产安全的生产经营活动。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六、是否利用辖区内商品房住宅从事餐饮、娱乐、洗浴、生产加工、易燃易爆物品销售、存储等容易污染环境、扰民以及涉及人民生命财产安全的行业。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□      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 </w:t>
            </w:r>
          </w:p>
          <w:p/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其他：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申请人：                         经办人：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C6894"/>
    <w:multiLevelType w:val="multilevel"/>
    <w:tmpl w:val="25CC68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2022-03-07T10:14:31Z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FEB45E93A25E4AE1A9298B931ABAC6EB</vt:lpwstr>
  </property>
</Properties>
</file>