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广州市白云区人民政府石井街道办事处2021年度行政许可实施和监督管理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根据《广东省行政许可监督管理条例》的要求，现将我单位202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年行政许可实施和监督管理情况报告如下: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街行政许可事项数量共1项，为建设骨灰堂审批，已进驻广东省政务服务事项管理系统(广东政务服务网)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年全年该事项申请量为0件，其中受理量件为0件、不受理量为0件;行政许可办结量为0件，其中审批同意量为0件、审批不同意量为0件。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(一)依法实施情况。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石井街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规定的审批权限、范围、程序、条件进行审批;不存在变相设定和实施行政许可等情况;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依法公开公示行政许可办事指南，优化审批流程和简化审批程序，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对行政许可配套规范性文件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清理、修改、完善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建设骨灰堂审批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事项的法定办结期限20个工作日、承诺办结期限1个工作日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石井街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能够做到按时审批，定时办结、将审批文件整理存档，审批结果及时公开公示。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(二)公开公示情况。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广东省政务服务事项管理系统(广东政务服务网)向社会公开公示行政许可审批事项的实施主体、依据、程序、条件、期限、裁量标准、申请材料及办法、收费标准、申请书格式文本、咨询投诉方式等信息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并及时向相关单位和行政审批相对人公开行政许可实施和结果情况。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(三)监督管理情况。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实施行政审批有关监管标准，明确有关工作人员、审批人员的职责和权限;公布咨询和投诉监督方式，便于群众咨询业务和投诉，利于群众监督。202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街未接到因建设骨灰堂审批的举报和相关投诉情况。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(四)实施效果情况。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严格做到依法依规，及时受理，按时办结，同时进一步优化和规范审批的流程，提高审批的时效性，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提高行政相对人的认可度和满意度。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)推行标准化情况。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在网上公开行政许可事项名称、实施依据、申请条件、申请材料、办理时限等要素，提供统一的标准，优化办事效率。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二、存在问题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和困难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2021年度石井街未受理过建设骨灰堂审批行政许可事项申请。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进一步完善网上办事大厅建设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主动积极配合上级部门对网上办事大厅系统建设，提高办事审批效率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提升数据服务能力。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窗口服务人员的业务工作培训，提升服务质量和水平。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附件:广州市白云区人民政府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年度行政许可实施和监督管理情况表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80" w:firstLineChars="9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广州市白云区人民政府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石井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街道办事处20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年度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行政许可实施和监督管理情况表</w:t>
      </w:r>
    </w:p>
    <w:p>
      <w:pPr>
        <w:rPr>
          <w:sz w:val="36"/>
          <w:szCs w:val="36"/>
        </w:rPr>
      </w:pPr>
    </w:p>
    <w:tbl>
      <w:tblPr>
        <w:tblStyle w:val="2"/>
        <w:tblW w:w="15345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36"/>
        <w:gridCol w:w="750"/>
        <w:gridCol w:w="636"/>
        <w:gridCol w:w="825"/>
        <w:gridCol w:w="453"/>
        <w:gridCol w:w="453"/>
        <w:gridCol w:w="403"/>
        <w:gridCol w:w="504"/>
        <w:gridCol w:w="454"/>
        <w:gridCol w:w="453"/>
        <w:gridCol w:w="454"/>
        <w:gridCol w:w="655"/>
        <w:gridCol w:w="750"/>
        <w:gridCol w:w="567"/>
        <w:gridCol w:w="709"/>
        <w:gridCol w:w="709"/>
        <w:gridCol w:w="723"/>
        <w:gridCol w:w="836"/>
        <w:gridCol w:w="851"/>
        <w:gridCol w:w="850"/>
        <w:gridCol w:w="851"/>
        <w:gridCol w:w="678"/>
      </w:tblGrid>
      <w:tr>
        <w:trPr>
          <w:trHeight w:val="417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审批事项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是否纳入</w:t>
            </w:r>
            <w:r>
              <w:rPr>
                <w:rFonts w:hint="eastAsia" w:hAnsi="宋体"/>
                <w:szCs w:val="21"/>
              </w:rPr>
              <w:t>区</w:t>
            </w:r>
            <w:r>
              <w:rPr>
                <w:rFonts w:hAnsi="宋体"/>
                <w:szCs w:val="21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是否进驻</w:t>
            </w:r>
            <w:r>
              <w:rPr>
                <w:rFonts w:hint="eastAsia" w:hAnsi="宋体"/>
                <w:szCs w:val="21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全年业务量（件）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实施过程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子项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受理量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不受理量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是否向社会公开审批结果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是否公开办事指南和业务手册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是否制定监管标准或制度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查处违法违规行为件数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建设骨灰堂审批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</w:rPr>
              <w:t>0个工作日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hint="eastAsia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7B3D"/>
    <w:rsid w:val="0DBC1292"/>
    <w:rsid w:val="1B974409"/>
    <w:rsid w:val="24D90977"/>
    <w:rsid w:val="27287CF2"/>
    <w:rsid w:val="30D232B7"/>
    <w:rsid w:val="3124191D"/>
    <w:rsid w:val="3CE4430C"/>
    <w:rsid w:val="41AF4121"/>
    <w:rsid w:val="42A73244"/>
    <w:rsid w:val="6D8A62C2"/>
    <w:rsid w:val="756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2022-03-11T07:00:00Z</dcterms:created>
  <dc:creator>sky-l</dc:creator>
  <cp:lastModifiedBy>阿泽</cp:lastModifiedBy>
  <cp:lastPrinted>2022-03-23T08:43:00Z</cp:lastPrinted>
  <dcterms:modified xsi:type="dcterms:W3CDTF">2022-03-28T07:20:46Z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42C0BBF437A34A1BBADAFA65F98E7DA9</vt:lpwstr>
  </property>
</Properties>
</file>