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44"/>
          <w:szCs w:val="44"/>
        </w:rPr>
      </w:pPr>
      <w:r>
        <w:rPr>
          <w:rFonts w:hint="eastAsia" w:ascii="楷体_GB2312" w:eastAsia="楷体_GB2312"/>
          <w:sz w:val="44"/>
          <w:szCs w:val="44"/>
        </w:rPr>
        <w:t>广州市白云区劳动人事争议仲裁委员会</w:t>
      </w:r>
    </w:p>
    <w:p>
      <w:pPr>
        <w:keepNext/>
        <w:keepLines/>
        <w:jc w:val="center"/>
        <w:outlineLvl w:val="3"/>
        <w:rPr>
          <w:rFonts w:ascii="宋体" w:hAnsi="宋体" w:eastAsia="宋体"/>
          <w:b/>
          <w:bCs/>
          <w:kern w:val="44"/>
          <w:sz w:val="48"/>
          <w:szCs w:val="48"/>
        </w:rPr>
      </w:pPr>
      <w:bookmarkStart w:id="0" w:name="_Toc349897208"/>
      <w:bookmarkStart w:id="1" w:name="_Toc350117129"/>
      <w:bookmarkStart w:id="2" w:name="_Toc350275413"/>
      <w:bookmarkStart w:id="3" w:name="_Toc370203324"/>
      <w:r>
        <w:rPr>
          <w:rFonts w:hint="eastAsia" w:ascii="宋体" w:hAnsi="宋体" w:eastAsia="宋体"/>
          <w:b/>
          <w:bCs/>
          <w:kern w:val="44"/>
          <w:sz w:val="48"/>
          <w:szCs w:val="48"/>
        </w:rPr>
        <w:t>仲</w:t>
      </w:r>
      <w:r>
        <w:rPr>
          <w:rFonts w:ascii="宋体" w:hAnsi="宋体" w:eastAsia="宋体"/>
          <w:b/>
          <w:bCs/>
          <w:kern w:val="44"/>
          <w:sz w:val="48"/>
          <w:szCs w:val="48"/>
        </w:rPr>
        <w:t xml:space="preserve"> </w:t>
      </w:r>
      <w:r>
        <w:rPr>
          <w:rFonts w:hint="eastAsia" w:ascii="宋体" w:hAnsi="宋体" w:eastAsia="宋体"/>
          <w:b/>
          <w:bCs/>
          <w:kern w:val="44"/>
          <w:sz w:val="48"/>
          <w:szCs w:val="48"/>
        </w:rPr>
        <w:t>裁</w:t>
      </w:r>
      <w:r>
        <w:rPr>
          <w:rFonts w:ascii="宋体" w:hAnsi="宋体" w:eastAsia="宋体"/>
          <w:b/>
          <w:bCs/>
          <w:kern w:val="44"/>
          <w:sz w:val="48"/>
          <w:szCs w:val="48"/>
        </w:rPr>
        <w:t xml:space="preserve"> </w:t>
      </w:r>
      <w:r>
        <w:rPr>
          <w:rFonts w:hint="eastAsia" w:ascii="宋体" w:hAnsi="宋体" w:eastAsia="宋体"/>
          <w:b/>
          <w:bCs/>
          <w:kern w:val="44"/>
          <w:sz w:val="48"/>
          <w:szCs w:val="48"/>
        </w:rPr>
        <w:t>裁</w:t>
      </w:r>
      <w:r>
        <w:rPr>
          <w:rFonts w:ascii="宋体" w:hAnsi="宋体" w:eastAsia="宋体"/>
          <w:b/>
          <w:bCs/>
          <w:kern w:val="44"/>
          <w:sz w:val="48"/>
          <w:szCs w:val="48"/>
        </w:rPr>
        <w:t xml:space="preserve"> </w:t>
      </w:r>
      <w:r>
        <w:rPr>
          <w:rFonts w:hint="eastAsia" w:ascii="宋体" w:hAnsi="宋体" w:eastAsia="宋体"/>
          <w:b/>
          <w:bCs/>
          <w:kern w:val="44"/>
          <w:sz w:val="48"/>
          <w:szCs w:val="48"/>
        </w:rPr>
        <w:t>决</w:t>
      </w:r>
      <w:r>
        <w:rPr>
          <w:rFonts w:ascii="宋体" w:hAnsi="宋体" w:eastAsia="宋体"/>
          <w:b/>
          <w:bCs/>
          <w:kern w:val="44"/>
          <w:sz w:val="48"/>
          <w:szCs w:val="48"/>
        </w:rPr>
        <w:t xml:space="preserve"> </w:t>
      </w:r>
      <w:r>
        <w:rPr>
          <w:rFonts w:hint="eastAsia" w:ascii="宋体" w:hAnsi="宋体" w:eastAsia="宋体"/>
          <w:b/>
          <w:bCs/>
          <w:kern w:val="44"/>
          <w:sz w:val="48"/>
          <w:szCs w:val="48"/>
        </w:rPr>
        <w:t>书</w:t>
      </w:r>
      <w:bookmarkEnd w:id="0"/>
      <w:bookmarkEnd w:id="1"/>
      <w:bookmarkEnd w:id="2"/>
      <w:bookmarkEnd w:id="3"/>
    </w:p>
    <w:p>
      <w:pPr>
        <w:wordWrap w:val="0"/>
        <w:ind w:right="640"/>
        <w:jc w:val="right"/>
        <w:rPr>
          <w:rFonts w:ascii="仿宋_GB2312" w:eastAsia="仿宋_GB2312"/>
          <w:sz w:val="32"/>
          <w:szCs w:val="32"/>
        </w:rPr>
      </w:pPr>
      <w:r>
        <w:rPr>
          <w:rFonts w:hint="eastAsia" w:ascii="仿宋_GB2312" w:eastAsia="仿宋_GB2312"/>
          <w:sz w:val="32"/>
          <w:szCs w:val="32"/>
        </w:rPr>
        <w:t xml:space="preserve"> </w:t>
      </w:r>
    </w:p>
    <w:p>
      <w:pPr>
        <w:pStyle w:val="10"/>
        <w:jc w:val="right"/>
        <w:rPr>
          <w:rFonts w:ascii="仿宋_GB2312" w:eastAsia="仿宋_GB2312"/>
          <w:sz w:val="32"/>
          <w:szCs w:val="32"/>
        </w:rPr>
      </w:pPr>
      <w:r>
        <w:rPr>
          <w:rFonts w:hint="eastAsia" w:ascii="仿宋_GB2312" w:eastAsia="仿宋_GB2312"/>
          <w:sz w:val="32"/>
          <w:szCs w:val="32"/>
        </w:rPr>
        <w:t>穗云劳人仲案〔202</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7478</w:t>
      </w:r>
      <w:r>
        <w:rPr>
          <w:rFonts w:hint="eastAsia" w:ascii="仿宋_GB2312" w:eastAsia="仿宋_GB2312"/>
          <w:sz w:val="32"/>
          <w:szCs w:val="32"/>
        </w:rPr>
        <w:t>号</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申请人：李见，男，汉族，1984年1月3日出生，住址：河南省上蔡县。</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被申请人：广州市华同立投资有限公司，地址：广州市白云区。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法定代表人：赵怡，</w:t>
      </w:r>
      <w:r>
        <w:rPr>
          <w:rFonts w:ascii="仿宋_GB2312" w:hAnsi="Times New Roman" w:eastAsia="仿宋_GB2312" w:cs="Times New Roman"/>
          <w:sz w:val="32"/>
          <w:szCs w:val="32"/>
        </w:rPr>
        <w:t>该公司总经理</w:t>
      </w:r>
      <w:r>
        <w:rPr>
          <w:rFonts w:hint="eastAsia" w:ascii="仿宋_GB2312" w:hAnsi="Times New Roman" w:eastAsia="仿宋_GB2312" w:cs="Times New Roman"/>
          <w:sz w:val="32"/>
          <w:szCs w:val="32"/>
        </w:rPr>
        <w:t>。</w:t>
      </w:r>
    </w:p>
    <w:p>
      <w:pPr>
        <w:pStyle w:val="9"/>
        <w:ind w:firstLine="627" w:firstLineChars="196"/>
        <w:rPr>
          <w:rFonts w:ascii="仿宋_GB2312"/>
          <w:sz w:val="32"/>
          <w:szCs w:val="32"/>
        </w:rPr>
      </w:pPr>
      <w:r>
        <w:rPr>
          <w:rFonts w:hint="eastAsia" w:ascii="仿宋_GB2312"/>
          <w:sz w:val="32"/>
          <w:szCs w:val="32"/>
        </w:rPr>
        <w:t>委托</w:t>
      </w:r>
      <w:r>
        <w:rPr>
          <w:rFonts w:ascii="仿宋_GB2312"/>
          <w:sz w:val="32"/>
          <w:szCs w:val="32"/>
        </w:rPr>
        <w:t>代理人：</w:t>
      </w:r>
      <w:r>
        <w:rPr>
          <w:rFonts w:hint="eastAsia" w:ascii="仿宋_GB2312"/>
          <w:sz w:val="32"/>
          <w:szCs w:val="32"/>
        </w:rPr>
        <w:t>符</w:t>
      </w:r>
      <w:r>
        <w:rPr>
          <w:rFonts w:ascii="仿宋_GB2312"/>
          <w:sz w:val="32"/>
          <w:szCs w:val="32"/>
        </w:rPr>
        <w:t>建强</w:t>
      </w:r>
      <w:r>
        <w:rPr>
          <w:rFonts w:hint="eastAsia" w:ascii="仿宋_GB2312"/>
          <w:sz w:val="32"/>
          <w:szCs w:val="32"/>
        </w:rPr>
        <w:t>，</w:t>
      </w:r>
      <w:r>
        <w:rPr>
          <w:rFonts w:ascii="仿宋_GB2312"/>
          <w:sz w:val="32"/>
          <w:szCs w:val="32"/>
        </w:rPr>
        <w:t>男，</w:t>
      </w:r>
      <w:r>
        <w:rPr>
          <w:rFonts w:hint="eastAsia" w:ascii="仿宋_GB2312"/>
          <w:sz w:val="32"/>
          <w:szCs w:val="32"/>
        </w:rPr>
        <w:t>广东</w:t>
      </w:r>
      <w:r>
        <w:rPr>
          <w:rFonts w:ascii="仿宋_GB2312"/>
          <w:sz w:val="32"/>
          <w:szCs w:val="32"/>
        </w:rPr>
        <w:t>中粤</w:t>
      </w:r>
      <w:r>
        <w:rPr>
          <w:rFonts w:hint="eastAsia" w:ascii="仿宋_GB2312"/>
          <w:sz w:val="32"/>
          <w:szCs w:val="32"/>
        </w:rPr>
        <w:t>云天</w:t>
      </w:r>
      <w:r>
        <w:rPr>
          <w:rFonts w:ascii="仿宋_GB2312"/>
          <w:sz w:val="32"/>
          <w:szCs w:val="32"/>
        </w:rPr>
        <w:t>律师事务所律师。</w:t>
      </w:r>
    </w:p>
    <w:p>
      <w:pPr>
        <w:pStyle w:val="9"/>
        <w:ind w:firstLine="627" w:firstLineChars="196"/>
        <w:rPr>
          <w:rFonts w:ascii="仿宋_GB2312"/>
          <w:sz w:val="32"/>
          <w:szCs w:val="32"/>
        </w:rPr>
      </w:pPr>
    </w:p>
    <w:p>
      <w:pPr>
        <w:pStyle w:val="9"/>
        <w:ind w:firstLine="627" w:firstLineChars="196"/>
        <w:rPr>
          <w:rFonts w:ascii="仿宋_GB2312"/>
          <w:sz w:val="32"/>
          <w:szCs w:val="32"/>
        </w:rPr>
      </w:pPr>
      <w:r>
        <w:rPr>
          <w:rFonts w:hint="eastAsia" w:ascii="仿宋_GB2312"/>
          <w:sz w:val="32"/>
          <w:szCs w:val="32"/>
        </w:rPr>
        <w:t>案由：工资。</w:t>
      </w:r>
    </w:p>
    <w:p>
      <w:pPr>
        <w:pStyle w:val="9"/>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zh-CN"/>
        </w:rPr>
        <w:t>李见</w:t>
      </w:r>
      <w:r>
        <w:rPr>
          <w:rFonts w:hint="eastAsia" w:ascii="仿宋_GB2312" w:hAnsi="仿宋_GB2312" w:eastAsia="仿宋_GB2312" w:cs="仿宋_GB2312"/>
          <w:sz w:val="32"/>
          <w:szCs w:val="32"/>
        </w:rPr>
        <w:t>诉被申请人</w:t>
      </w:r>
      <w:r>
        <w:rPr>
          <w:rFonts w:hint="eastAsia" w:ascii="仿宋_GB2312" w:hAnsi="仿宋_GB2312" w:eastAsia="仿宋_GB2312" w:cs="仿宋_GB2312"/>
          <w:sz w:val="32"/>
          <w:szCs w:val="32"/>
          <w:lang w:val="zh-CN"/>
        </w:rPr>
        <w:t>广州市华同立投资有限公司</w:t>
      </w:r>
      <w:r>
        <w:rPr>
          <w:rFonts w:hint="eastAsia" w:ascii="仿宋_GB2312" w:hAnsi="仿宋_GB2312" w:eastAsia="仿宋_GB2312" w:cs="仿宋_GB2312"/>
          <w:sz w:val="32"/>
          <w:szCs w:val="32"/>
        </w:rPr>
        <w:t>劳动争议一案，本委依法受理并进行开庭审理。申请人</w:t>
      </w:r>
      <w:r>
        <w:rPr>
          <w:rFonts w:hint="eastAsia" w:ascii="仿宋_GB2312" w:hAnsi="仿宋_GB2312" w:eastAsia="仿宋_GB2312" w:cs="仿宋_GB2312"/>
          <w:sz w:val="32"/>
          <w:szCs w:val="32"/>
          <w:lang w:val="zh-CN"/>
        </w:rPr>
        <w:t>李见</w:t>
      </w:r>
      <w:r>
        <w:rPr>
          <w:rFonts w:hint="eastAsia" w:ascii="仿宋_GB2312" w:hAnsi="仿宋_GB2312" w:eastAsia="仿宋_GB2312" w:cs="仿宋_GB2312"/>
          <w:sz w:val="32"/>
          <w:szCs w:val="32"/>
        </w:rPr>
        <w:t>，被申请人的委托代理人符建强到庭参加了庭审。本案现已审理终结。</w:t>
      </w:r>
    </w:p>
    <w:p>
      <w:pPr>
        <w:pStyle w:val="9"/>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的仲裁请求为：一、被申请人支付2020年7月1日至2020年8月1日的工资4500元(当庭变更为2021年7月1日至2021年7月31日期间的工资4500元)；二、被申请人支付解除劳动关系经济补偿金20000元（当庭撤回）；三、确认申请人与被申请人在2020年7月1日至2020年8月1日期间存在劳动关系（当庭撤回）。</w:t>
      </w:r>
    </w:p>
    <w:p>
      <w:pPr>
        <w:pStyle w:val="9"/>
        <w:ind w:firstLine="627" w:firstLineChars="196"/>
        <w:rPr>
          <w:rFonts w:hint="eastAsia" w:ascii="仿宋_GB2312" w:hAnsi="仿宋_GB2312" w:eastAsia="仿宋_GB2312" w:cs="仿宋_GB2312"/>
          <w:sz w:val="32"/>
          <w:szCs w:val="32"/>
        </w:rPr>
      </w:pPr>
    </w:p>
    <w:p>
      <w:pPr>
        <w:pStyle w:val="9"/>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本案相关情况</w:t>
      </w:r>
    </w:p>
    <w:p>
      <w:pPr>
        <w:pStyle w:val="9"/>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双方对以下事项无争议：</w:t>
      </w:r>
    </w:p>
    <w:p>
      <w:pPr>
        <w:pStyle w:val="9"/>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申请人系被申请人的员工。</w:t>
      </w:r>
    </w:p>
    <w:p>
      <w:pPr>
        <w:pStyle w:val="9"/>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双方有签订劳动合同。</w:t>
      </w:r>
    </w:p>
    <w:p>
      <w:pPr>
        <w:pStyle w:val="9"/>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被申请人从2020年3月起为申请人参加社会保险。</w:t>
      </w:r>
    </w:p>
    <w:p>
      <w:pPr>
        <w:pStyle w:val="9"/>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四、被申请人每月通过银行转账发放申请人上月工资。</w:t>
      </w:r>
    </w:p>
    <w:p>
      <w:pPr>
        <w:pStyle w:val="9"/>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五、被申请人系2013年9月29日注册成立的有限责任公司。申请人于2021年9月15日向本委申请劳动仲裁。</w:t>
      </w:r>
    </w:p>
    <w:p>
      <w:pPr>
        <w:pStyle w:val="9"/>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双方有争议事项及本委认定情况如下：</w:t>
      </w:r>
    </w:p>
    <w:p>
      <w:pPr>
        <w:pStyle w:val="9"/>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于工资。申请人主张其工资标准从2018年开始为底薪4500元/月+提成，月均工资7000元，被申请人通过银行公司账户及个人账户银行转账发放工资，最后工作至2020年9月13日，工作期间需要钉钉打卡考勤。被申请人未支付其2020年7月份底薪工资4500元。申请人就此主张提交了证据：1.银行交易明细（显示被申请人公司账户在2020年7月30日、2020年5月25日、2020年4月24日向申请人支付工资3576.31元、3865.31元、3576.31元，陈鉴源的个人账户在2020年7月29日、2020年7月1日向申请人转账2640.92元、2312.96元，沈丹丹的个人账户在2020年5月23日、2020年4月23日、2020年3月28日向申请人转账1773.96元、2312.96元、1700元）；2.9月份钉钉考勤记录（公司名称为台山市华衡业机械设备有限公司，申请人主张被申请人与该公司是同一老板）；3.与上司钟志伟的微信聊天记录（显示2020年8月21日至2021年9月14日期间申请人与对方沟通工资及工作事宜）。经质证，被申请人确认证据1中公司转账部分是被申请人发放的工资，对其他个人账户转账部分不确认；对证据2真实性、合法性、关联性不确认，被申请人与</w:t>
      </w:r>
      <w:r>
        <w:rPr>
          <w:rFonts w:hint="eastAsia" w:ascii="仿宋_GB2312" w:hAnsi="仿宋_GB2312" w:cs="仿宋_GB2312"/>
          <w:sz w:val="32"/>
          <w:szCs w:val="32"/>
          <w:lang w:val="en-US" w:eastAsia="zh-CN"/>
        </w:rPr>
        <w:t>台</w:t>
      </w:r>
      <w:r>
        <w:rPr>
          <w:rFonts w:hint="eastAsia" w:ascii="仿宋_GB2312" w:hAnsi="仿宋_GB2312" w:eastAsia="仿宋_GB2312" w:cs="仿宋_GB2312"/>
          <w:sz w:val="32"/>
          <w:szCs w:val="32"/>
        </w:rPr>
        <w:t>山市华衡业机械设备有限公司无任何联系；对证据3不确认，钟志伟不是被申请人的员工。</w:t>
      </w:r>
    </w:p>
    <w:p>
      <w:pPr>
        <w:pStyle w:val="9"/>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主张申请人的工资标准为基本工资2100元/月+绩效，月均工资3600元，通过公司账户向申请人发放工资。申请人最后工作至2020年6月30日离职，从2020年7月1日起没有上班，没有办理离职手续，工作期间无需考勤。被申请人提交了证据劳动合同及劳动合同签收表（显示合同期限从2020年3月1日至2024年2月29日，申请人的职务为业务代表人，正常工作时间工资2100元/月）。经质证，申请人确认是其本人的签名，但认为劳动合同签订时内容是空白的，也未给申请人一份。</w:t>
      </w:r>
    </w:p>
    <w:p>
      <w:pPr>
        <w:pStyle w:val="16"/>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lang w:eastAsia="zh-Hans"/>
        </w:rPr>
        <w:t>本委认为，参照《最高人民法院关于审理劳动争议案件适用法律问题的解释（一）》第四十四条规定，</w:t>
      </w:r>
      <w:r>
        <w:rPr>
          <w:rFonts w:hint="eastAsia" w:ascii="仿宋_GB2312" w:hAnsi="仿宋_GB2312" w:eastAsia="仿宋_GB2312" w:cs="仿宋_GB2312"/>
          <w:b/>
          <w:bCs/>
          <w:sz w:val="32"/>
          <w:szCs w:val="32"/>
          <w:lang w:eastAsia="zh-Hans"/>
        </w:rPr>
        <w:t> </w:t>
      </w:r>
      <w:r>
        <w:rPr>
          <w:rFonts w:hint="eastAsia" w:ascii="仿宋_GB2312" w:hAnsi="仿宋_GB2312" w:eastAsia="仿宋_GB2312" w:cs="仿宋_GB2312"/>
          <w:sz w:val="32"/>
          <w:szCs w:val="32"/>
          <w:lang w:eastAsia="zh-Hans"/>
        </w:rPr>
        <w:t>因用人单位作出的开除、除名、辞退、解除劳动合同、减少劳动报酬、计算劳动者工作年限等决定而发生的劳动争议，用人单位负举证责任。被申请人对申请人主张的最后工作时间存在异议，主张申请人最后工作至2021年6月30日，但被申请人作为用人单位未提供任何证据予以证明，应承担举证不能的不利后果，故本委对被申请人的主张不予采纳，并采信申请人的主张。</w:t>
      </w:r>
      <w:r>
        <w:rPr>
          <w:rFonts w:hint="eastAsia" w:ascii="仿宋_GB2312" w:hAnsi="仿宋_GB2312" w:eastAsia="仿宋_GB2312" w:cs="仿宋_GB2312"/>
          <w:kern w:val="0"/>
          <w:sz w:val="32"/>
          <w:szCs w:val="32"/>
          <w:lang w:val="zh-CN"/>
        </w:rPr>
        <w:t>申请人在</w:t>
      </w:r>
      <w:r>
        <w:rPr>
          <w:rFonts w:hint="eastAsia" w:ascii="仿宋_GB2312" w:hAnsi="仿宋_GB2312" w:eastAsia="仿宋_GB2312" w:cs="仿宋_GB2312"/>
          <w:kern w:val="0"/>
          <w:sz w:val="32"/>
          <w:szCs w:val="32"/>
        </w:rPr>
        <w:t>2021年7月1日至2021年7月31日</w:t>
      </w:r>
      <w:r>
        <w:rPr>
          <w:rFonts w:hint="eastAsia" w:ascii="仿宋_GB2312" w:hAnsi="仿宋_GB2312" w:eastAsia="仿宋_GB2312" w:cs="仿宋_GB2312"/>
          <w:kern w:val="0"/>
          <w:sz w:val="32"/>
          <w:szCs w:val="32"/>
          <w:lang w:val="zh-CN"/>
        </w:rPr>
        <w:t>期间为被申请人提供了劳动，有权获得劳动报酬。根据《广东省工资支付条例》第四十八条的规定，因工资支付发生的争议，用人单位负有举证责任。现被申请人没有提交工资支付台账等证据，应当承担举证不能的后果，本委结合申请人提供的银行交易明细，对申请人主张的工资标准和工资支付情况予以采信。因此，被申请人应支付申请人</w:t>
      </w:r>
      <w:r>
        <w:rPr>
          <w:rFonts w:hint="eastAsia" w:ascii="仿宋_GB2312" w:hAnsi="仿宋_GB2312" w:eastAsia="仿宋_GB2312" w:cs="仿宋_GB2312"/>
          <w:kern w:val="0"/>
          <w:sz w:val="32"/>
          <w:szCs w:val="32"/>
        </w:rPr>
        <w:t>2020年7月1日至2020年7月31日期间的</w:t>
      </w:r>
      <w:r>
        <w:rPr>
          <w:rFonts w:hint="eastAsia" w:ascii="仿宋_GB2312" w:hAnsi="仿宋_GB2312" w:eastAsia="仿宋_GB2312" w:cs="仿宋_GB2312"/>
          <w:kern w:val="0"/>
          <w:sz w:val="32"/>
          <w:szCs w:val="32"/>
          <w:lang w:val="zh-CN"/>
        </w:rPr>
        <w:t>工资4500元（4500元×1个月）。</w:t>
      </w:r>
    </w:p>
    <w:p>
      <w:pPr>
        <w:pStyle w:val="16"/>
        <w:ind w:firstLine="640" w:firstLineChars="200"/>
        <w:rPr>
          <w:rFonts w:hint="eastAsia" w:ascii="仿宋_GB2312" w:hAnsi="仿宋_GB2312" w:eastAsia="仿宋_GB2312" w:cs="仿宋_GB2312"/>
          <w:sz w:val="32"/>
        </w:rPr>
      </w:pPr>
      <w:r>
        <w:rPr>
          <w:rFonts w:hint="eastAsia" w:ascii="仿宋_GB2312" w:hAnsi="仿宋_GB2312" w:eastAsia="仿宋_GB2312" w:cs="仿宋_GB2312"/>
          <w:kern w:val="0"/>
          <w:sz w:val="32"/>
          <w:szCs w:val="32"/>
          <w:lang w:val="zh-CN"/>
        </w:rPr>
        <w:t>二、申请人当庭撤回要求被申请人支付解除劳动关系经济补偿金20000元及确认双方在2020年7月1日至2020年8月1日期间存在劳动关系的仲裁请求，本委予以准许。</w:t>
      </w:r>
    </w:p>
    <w:p>
      <w:pPr>
        <w:pStyle w:val="9"/>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裁决结果</w:t>
      </w:r>
    </w:p>
    <w:p>
      <w:pPr>
        <w:pStyle w:val="9"/>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sz w:val="32"/>
          <w:szCs w:val="32"/>
        </w:rPr>
        <w:t>《中华人民共和国劳动争议调解仲裁法》第四十七条、第四十八条、第四十九条，</w:t>
      </w:r>
      <w:r>
        <w:rPr>
          <w:rFonts w:hint="eastAsia" w:ascii="仿宋_GB2312" w:hAnsi="仿宋_GB2312" w:eastAsia="仿宋_GB2312" w:cs="仿宋_GB2312"/>
          <w:kern w:val="0"/>
          <w:sz w:val="32"/>
          <w:szCs w:val="32"/>
          <w:lang w:val="zh-CN"/>
        </w:rPr>
        <w:t>《广东省工资支付条例》第四十八条，</w:t>
      </w:r>
      <w:r>
        <w:rPr>
          <w:rFonts w:hint="eastAsia" w:ascii="仿宋_GB2312" w:hAnsi="仿宋_GB2312" w:eastAsia="仿宋_GB2312" w:cs="仿宋_GB2312"/>
          <w:sz w:val="32"/>
          <w:szCs w:val="32"/>
          <w:lang w:eastAsia="zh-Hans"/>
        </w:rPr>
        <w:t>《最高人民法院关于审理劳动争议案件适用法律问题的解释（一）》第四十四条</w:t>
      </w:r>
      <w:r>
        <w:rPr>
          <w:rFonts w:hint="eastAsia" w:ascii="仿宋_GB2312" w:hAnsi="仿宋_GB2312" w:eastAsia="仿宋_GB2312" w:cs="仿宋_GB2312"/>
          <w:sz w:val="32"/>
          <w:szCs w:val="32"/>
        </w:rPr>
        <w:t>之规定</w:t>
      </w:r>
      <w:r>
        <w:rPr>
          <w:rFonts w:hint="eastAsia" w:ascii="仿宋_GB2312" w:hAnsi="仿宋_GB2312" w:eastAsia="仿宋_GB2312" w:cs="仿宋_GB2312"/>
          <w:sz w:val="32"/>
          <w:szCs w:val="32"/>
          <w:lang w:val="zh-CN"/>
        </w:rPr>
        <w:t>，裁决如下：</w:t>
      </w:r>
    </w:p>
    <w:p>
      <w:pPr>
        <w:pStyle w:val="9"/>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本裁决生效之日起3日内，被申请人一次性支付申请人</w:t>
      </w:r>
      <w:r>
        <w:rPr>
          <w:rFonts w:hint="eastAsia" w:ascii="仿宋_GB2312" w:hAnsi="仿宋_GB2312" w:eastAsia="仿宋_GB2312" w:cs="仿宋_GB2312"/>
          <w:kern w:val="0"/>
          <w:sz w:val="32"/>
          <w:szCs w:val="32"/>
        </w:rPr>
        <w:t>2020年7月1日至2020年7月31日期间的</w:t>
      </w:r>
      <w:r>
        <w:rPr>
          <w:rFonts w:hint="eastAsia" w:ascii="仿宋_GB2312" w:hAnsi="仿宋_GB2312" w:eastAsia="仿宋_GB2312" w:cs="仿宋_GB2312"/>
          <w:kern w:val="0"/>
          <w:sz w:val="32"/>
          <w:szCs w:val="32"/>
          <w:lang w:val="zh-CN"/>
        </w:rPr>
        <w:t>工资4500元</w:t>
      </w:r>
      <w:r>
        <w:rPr>
          <w:rFonts w:hint="eastAsia" w:ascii="仿宋_GB2312" w:hAnsi="仿宋_GB2312" w:eastAsia="仿宋_GB2312" w:cs="仿宋_GB2312"/>
          <w:sz w:val="32"/>
          <w:szCs w:val="32"/>
        </w:rPr>
        <w:t>。</w:t>
      </w:r>
    </w:p>
    <w:p>
      <w:pPr>
        <w:pStyle w:val="2"/>
        <w:spacing w:line="600" w:lineRule="exact"/>
        <w:rPr>
          <w:rFonts w:hint="eastAsia" w:ascii="仿宋_GB2312" w:hAnsi="仿宋_GB2312" w:eastAsia="仿宋_GB2312" w:cs="仿宋_GB2312"/>
          <w:szCs w:val="32"/>
        </w:rPr>
      </w:pPr>
      <w:r>
        <w:rPr>
          <w:rFonts w:hint="eastAsia" w:ascii="仿宋_GB2312" w:hAnsi="仿宋_GB2312" w:eastAsia="仿宋_GB2312" w:cs="仿宋_GB2312"/>
          <w:szCs w:val="32"/>
        </w:rPr>
        <w:t>本仲裁裁决为终局裁决，裁决书自作出之日起发生法律效力。如劳动者不服本裁决，可以自收到本裁</w:t>
      </w:r>
      <w:bookmarkStart w:id="4" w:name="_GoBack"/>
      <w:bookmarkEnd w:id="4"/>
      <w:r>
        <w:rPr>
          <w:rFonts w:hint="eastAsia" w:ascii="仿宋_GB2312" w:hAnsi="仿宋_GB2312" w:eastAsia="仿宋_GB2312" w:cs="仿宋_GB2312"/>
          <w:szCs w:val="32"/>
        </w:rPr>
        <w:t>决书之日起十五日内向有管辖权的人民法院起诉。</w:t>
      </w: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仲 裁 员：林 泽 纯</w:t>
      </w:r>
    </w:p>
    <w:p>
      <w:pPr>
        <w:pStyle w:val="9"/>
        <w:ind w:firstLine="4800" w:firstLineChars="1500"/>
        <w:rPr>
          <w:rFonts w:hint="eastAsia" w:ascii="仿宋_GB2312" w:hAnsi="仿宋_GB2312" w:eastAsia="仿宋_GB2312" w:cs="仿宋_GB2312"/>
          <w:sz w:val="32"/>
          <w:szCs w:val="32"/>
        </w:rPr>
      </w:pPr>
    </w:p>
    <w:p>
      <w:pPr>
        <w:pStyle w:val="9"/>
        <w:ind w:firstLine="4800" w:firstLineChars="1500"/>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本件与原件核对无异          二Ｏ二二年一月二十六日  </w:t>
      </w:r>
    </w:p>
    <w:p>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9"/>
        <w:rPr>
          <w:rFonts w:hint="eastAsia" w:ascii="仿宋_GB2312" w:hAnsi="仿宋_GB2312" w:eastAsia="仿宋_GB2312" w:cs="仿宋_GB2312"/>
          <w:sz w:val="32"/>
          <w:szCs w:val="32"/>
        </w:rPr>
      </w:pPr>
    </w:p>
    <w:p>
      <w:pPr>
        <w:rPr>
          <w:rFonts w:hint="eastAsia" w:ascii="仿宋_GB2312" w:hAnsi="仿宋_GB2312" w:eastAsia="仿宋_GB2312" w:cs="仿宋_GB2312"/>
        </w:rPr>
      </w:pPr>
      <w:r>
        <w:rPr>
          <w:rFonts w:hint="eastAsia" w:ascii="仿宋_GB2312" w:hAnsi="仿宋_GB2312" w:eastAsia="仿宋_GB2312" w:cs="仿宋_GB2312"/>
          <w:sz w:val="32"/>
          <w:szCs w:val="32"/>
        </w:rPr>
        <w:t xml:space="preserve">                              书 记 员：钟 秋 玲</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539435"/>
      <w:docPartObj>
        <w:docPartGallery w:val="AutoText"/>
      </w:docPartObj>
    </w:sdtPr>
    <w:sdtContent>
      <w:p>
        <w:pPr>
          <w:pStyle w:val="4"/>
          <w:jc w:val="center"/>
          <w:rPr>
            <w:rFonts w:ascii="仿宋" w:hAnsi="仿宋" w:eastAsia="仿宋"/>
          </w:rPr>
        </w:pPr>
        <w:r>
          <w:rPr>
            <w:rFonts w:hint="eastAsia" w:ascii="仿宋" w:hAnsi="仿宋" w:eastAsia="仿宋"/>
          </w:rPr>
          <w:t>第</w:t>
        </w:r>
        <w:r>
          <w:rPr>
            <w:rFonts w:ascii="仿宋" w:hAnsi="仿宋" w:eastAsia="仿宋"/>
          </w:rPr>
          <w:t xml:space="preserve"> </w:t>
        </w:r>
        <w:r>
          <w:rPr>
            <w:rFonts w:ascii="仿宋" w:hAnsi="仿宋" w:eastAsia="仿宋"/>
          </w:rPr>
          <w:fldChar w:fldCharType="begin"/>
        </w:r>
        <w:r>
          <w:rPr>
            <w:rFonts w:ascii="仿宋" w:hAnsi="仿宋" w:eastAsia="仿宋"/>
          </w:rPr>
          <w:instrText xml:space="preserve">PAGE</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hint="eastAsia" w:ascii="仿宋" w:hAnsi="仿宋" w:eastAsia="仿宋"/>
          </w:rPr>
          <w:t>页</w:t>
        </w:r>
        <w:r>
          <w:rPr>
            <w:rFonts w:ascii="仿宋" w:hAnsi="仿宋" w:eastAsia="仿宋"/>
          </w:rPr>
          <w:t xml:space="preserve"> </w:t>
        </w:r>
        <w:r>
          <w:rPr>
            <w:rFonts w:hint="eastAsia" w:ascii="仿宋" w:hAnsi="仿宋" w:eastAsia="仿宋"/>
          </w:rPr>
          <w:t>共</w:t>
        </w:r>
        <w:r>
          <w:rPr>
            <w:rFonts w:ascii="仿宋" w:hAnsi="仿宋" w:eastAsia="仿宋"/>
          </w:rPr>
          <w:t xml:space="preserve"> </w:t>
        </w:r>
        <w:r>
          <w:rPr>
            <w:rFonts w:ascii="仿宋" w:hAnsi="仿宋" w:eastAsia="仿宋"/>
          </w:rPr>
          <w:fldChar w:fldCharType="begin"/>
        </w:r>
        <w:r>
          <w:rPr>
            <w:rFonts w:ascii="仿宋" w:hAnsi="仿宋" w:eastAsia="仿宋"/>
          </w:rPr>
          <w:instrText xml:space="preserve">NUMPAGES</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hint="eastAsia" w:ascii="仿宋" w:hAnsi="仿宋" w:eastAsia="仿宋"/>
          </w:rPr>
          <w:t>页</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5A"/>
    <w:rsid w:val="00007EB3"/>
    <w:rsid w:val="0006432A"/>
    <w:rsid w:val="0006454A"/>
    <w:rsid w:val="0006501C"/>
    <w:rsid w:val="00095D4C"/>
    <w:rsid w:val="000D358F"/>
    <w:rsid w:val="000D7710"/>
    <w:rsid w:val="000F6F06"/>
    <w:rsid w:val="00111D94"/>
    <w:rsid w:val="001935CE"/>
    <w:rsid w:val="00224933"/>
    <w:rsid w:val="00260C9C"/>
    <w:rsid w:val="00321535"/>
    <w:rsid w:val="003C6939"/>
    <w:rsid w:val="003C6FFC"/>
    <w:rsid w:val="003D3758"/>
    <w:rsid w:val="003D6490"/>
    <w:rsid w:val="004535EE"/>
    <w:rsid w:val="004950F5"/>
    <w:rsid w:val="005475F8"/>
    <w:rsid w:val="00570B7B"/>
    <w:rsid w:val="005717F1"/>
    <w:rsid w:val="0064242C"/>
    <w:rsid w:val="00657D66"/>
    <w:rsid w:val="006B7746"/>
    <w:rsid w:val="006C016E"/>
    <w:rsid w:val="00710069"/>
    <w:rsid w:val="007110AA"/>
    <w:rsid w:val="00730A1C"/>
    <w:rsid w:val="007C0EF6"/>
    <w:rsid w:val="008F139D"/>
    <w:rsid w:val="00903EFA"/>
    <w:rsid w:val="00921AE2"/>
    <w:rsid w:val="00925B31"/>
    <w:rsid w:val="00930FAB"/>
    <w:rsid w:val="009B52F8"/>
    <w:rsid w:val="009B675F"/>
    <w:rsid w:val="009C0ADA"/>
    <w:rsid w:val="009F0236"/>
    <w:rsid w:val="00A276E7"/>
    <w:rsid w:val="00A37DAF"/>
    <w:rsid w:val="00A403CA"/>
    <w:rsid w:val="00B02D31"/>
    <w:rsid w:val="00B121AE"/>
    <w:rsid w:val="00B35A5A"/>
    <w:rsid w:val="00C30E62"/>
    <w:rsid w:val="00C6560A"/>
    <w:rsid w:val="00C90B1F"/>
    <w:rsid w:val="00CC2A77"/>
    <w:rsid w:val="00D53977"/>
    <w:rsid w:val="00D53B68"/>
    <w:rsid w:val="00D77D8F"/>
    <w:rsid w:val="00DA27DE"/>
    <w:rsid w:val="00DD3472"/>
    <w:rsid w:val="00E536F7"/>
    <w:rsid w:val="00E664F8"/>
    <w:rsid w:val="00EA1ECD"/>
    <w:rsid w:val="00EE18EB"/>
    <w:rsid w:val="00EE4789"/>
    <w:rsid w:val="00F16248"/>
    <w:rsid w:val="00F33B9B"/>
    <w:rsid w:val="61E3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0"/>
    <w:pPr>
      <w:ind w:firstLine="640" w:firstLineChars="200"/>
    </w:pPr>
    <w:rPr>
      <w:rFonts w:eastAsia="仿宋_GB2312"/>
      <w:sz w:val="32"/>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正文 New New New"/>
    <w:uiPriority w:val="0"/>
    <w:pPr>
      <w:widowControl w:val="0"/>
      <w:jc w:val="both"/>
    </w:pPr>
    <w:rPr>
      <w:rFonts w:ascii="Times New Roman" w:hAnsi="Times New Roman" w:eastAsia="仿宋_GB2312" w:cs="Times New Roman"/>
      <w:kern w:val="2"/>
      <w:sz w:val="28"/>
      <w:szCs w:val="28"/>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正文文本缩进 字符"/>
    <w:link w:val="2"/>
    <w:uiPriority w:val="0"/>
    <w:rPr>
      <w:rFonts w:eastAsia="仿宋_GB2312"/>
      <w:sz w:val="32"/>
    </w:rPr>
  </w:style>
  <w:style w:type="character" w:customStyle="1" w:styleId="12">
    <w:name w:val="正文文本缩进 字符1"/>
    <w:basedOn w:val="7"/>
    <w:semiHidden/>
    <w:uiPriority w:val="99"/>
  </w:style>
  <w:style w:type="character" w:customStyle="1" w:styleId="13">
    <w:name w:val="页眉 字符"/>
    <w:basedOn w:val="7"/>
    <w:link w:val="5"/>
    <w:qFormat/>
    <w:uiPriority w:val="99"/>
    <w:rPr>
      <w:sz w:val="18"/>
      <w:szCs w:val="18"/>
    </w:rPr>
  </w:style>
  <w:style w:type="character" w:customStyle="1" w:styleId="14">
    <w:name w:val="页脚 字符"/>
    <w:basedOn w:val="7"/>
    <w:link w:val="4"/>
    <w:uiPriority w:val="99"/>
    <w:rPr>
      <w:sz w:val="18"/>
      <w:szCs w:val="18"/>
    </w:rPr>
  </w:style>
  <w:style w:type="character" w:customStyle="1" w:styleId="15">
    <w:name w:val="批注框文本 字符"/>
    <w:basedOn w:val="7"/>
    <w:link w:val="3"/>
    <w:semiHidden/>
    <w:uiPriority w:val="99"/>
    <w:rPr>
      <w:sz w:val="18"/>
      <w:szCs w:val="18"/>
    </w:rPr>
  </w:style>
  <w:style w:type="paragraph" w:customStyle="1" w:styleId="16">
    <w:name w:val="正文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338</Words>
  <Characters>1930</Characters>
  <Lines>16</Lines>
  <Paragraphs>4</Paragraphs>
  <TotalTime>528</TotalTime>
  <ScaleCrop>false</ScaleCrop>
  <LinksUpToDate>false</LinksUpToDate>
  <CharactersWithSpaces>2264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2021-07-27T09:10:00Z</dcterms:created>
  <dc:creator>lzc</dc:creator>
  <cp:lastModifiedBy>常夏</cp:lastModifiedBy>
  <cp:lastPrinted>2022-01-29T01:43:00Z</cp:lastPrinted>
  <dcterms:modified xsi:type="dcterms:W3CDTF">2022-06-22T03:29:34Z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