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pageBreakBefore w:val="0"/>
        <w:kinsoku/>
        <w:wordWrap/>
        <w:overflowPunct/>
        <w:topLinePunct w:val="0"/>
        <w:bidi w:val="0"/>
        <w:spacing w:before="0" w:after="0" w:line="560" w:lineRule="exact"/>
        <w:jc w:val="center"/>
        <w:rPr>
          <w:rFonts w:hint="eastAsia" w:ascii="宋体" w:hAnsi="宋体" w:eastAsia="宋体" w:cs="宋体"/>
          <w:sz w:val="44"/>
          <w:szCs w:val="44"/>
          <w:lang w:val="zh-CN"/>
        </w:rPr>
      </w:pPr>
      <w:r>
        <w:rPr>
          <w:rFonts w:hint="eastAsia" w:ascii="宋体" w:hAnsi="宋体" w:eastAsia="宋体" w:cs="宋体"/>
          <w:sz w:val="44"/>
          <w:szCs w:val="44"/>
          <w:lang w:val="zh-CN"/>
        </w:rPr>
        <w:t>广州市白云区2021</w:t>
      </w:r>
      <w:r>
        <w:rPr>
          <w:rFonts w:hint="eastAsia" w:ascii="宋体" w:hAnsi="宋体" w:cs="宋体"/>
          <w:sz w:val="44"/>
          <w:szCs w:val="44"/>
          <w:lang w:val="en-US" w:eastAsia="zh-CN"/>
        </w:rPr>
        <w:t>-2022</w:t>
      </w:r>
      <w:r>
        <w:rPr>
          <w:rFonts w:hint="eastAsia" w:ascii="宋体" w:hAnsi="宋体" w:eastAsia="宋体" w:cs="宋体"/>
          <w:sz w:val="44"/>
          <w:szCs w:val="44"/>
          <w:lang w:val="zh-CN"/>
        </w:rPr>
        <w:t>年度社区居家</w:t>
      </w:r>
    </w:p>
    <w:p>
      <w:pPr>
        <w:pStyle w:val="7"/>
        <w:keepLines w:val="0"/>
        <w:pageBreakBefore w:val="0"/>
        <w:kinsoku/>
        <w:wordWrap/>
        <w:overflowPunct/>
        <w:topLinePunct w:val="0"/>
        <w:bidi w:val="0"/>
        <w:spacing w:before="0" w:after="0" w:line="560" w:lineRule="exact"/>
        <w:jc w:val="center"/>
        <w:rPr>
          <w:rFonts w:hint="eastAsia" w:ascii="宋体" w:hAnsi="宋体" w:eastAsia="宋体" w:cs="宋体"/>
          <w:sz w:val="44"/>
          <w:szCs w:val="44"/>
          <w:lang w:val="zh-CN"/>
        </w:rPr>
      </w:pPr>
      <w:r>
        <w:rPr>
          <w:rFonts w:hint="eastAsia" w:ascii="宋体" w:hAnsi="宋体" w:eastAsia="宋体" w:cs="宋体"/>
          <w:sz w:val="44"/>
          <w:szCs w:val="44"/>
          <w:lang w:val="zh-CN"/>
        </w:rPr>
        <w:t>养老服务质量评估项目用户需求书</w:t>
      </w:r>
    </w:p>
    <w:p>
      <w:pPr>
        <w:keepLines w:val="0"/>
        <w:pageBreakBefore w:val="0"/>
        <w:kinsoku/>
        <w:wordWrap/>
        <w:overflowPunct/>
        <w:topLinePunct w:val="0"/>
        <w:bidi w:val="0"/>
        <w:spacing w:line="560" w:lineRule="exact"/>
        <w:ind w:firstLine="420" w:firstLineChars="200"/>
      </w:pPr>
    </w:p>
    <w:p>
      <w:pPr>
        <w:keepLines w:val="0"/>
        <w:pageBreakBefore w:val="0"/>
        <w:numPr>
          <w:ilvl w:val="0"/>
          <w:numId w:val="0"/>
        </w:numPr>
        <w:kinsoku/>
        <w:wordWrap/>
        <w:overflowPunct/>
        <w:topLinePunct w:val="0"/>
        <w:bidi w:val="0"/>
        <w:snapToGrid w:val="0"/>
        <w:spacing w:line="560" w:lineRule="exact"/>
        <w:ind w:leftChars="0"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eastAsia="zh-CN"/>
        </w:rPr>
        <w:t>注：</w:t>
      </w:r>
      <w:r>
        <w:rPr>
          <w:rFonts w:hint="eastAsia" w:ascii="仿宋" w:hAnsi="仿宋" w:eastAsia="仿宋" w:cs="仿宋"/>
          <w:b/>
          <w:bCs/>
          <w:sz w:val="32"/>
          <w:szCs w:val="32"/>
        </w:rPr>
        <w:t>响应供应商须对本项目进行整体响应，任何只对其中一部分进行的响应都被视为无效</w:t>
      </w:r>
      <w:r>
        <w:rPr>
          <w:rFonts w:hint="eastAsia" w:ascii="仿宋" w:hAnsi="仿宋" w:eastAsia="仿宋" w:cs="仿宋"/>
          <w:b/>
          <w:bCs/>
          <w:sz w:val="32"/>
          <w:szCs w:val="32"/>
          <w:lang w:eastAsia="zh-CN"/>
        </w:rPr>
        <w:t>投标</w:t>
      </w:r>
      <w:r>
        <w:rPr>
          <w:rFonts w:hint="eastAsia" w:ascii="仿宋" w:hAnsi="仿宋" w:eastAsia="仿宋" w:cs="仿宋"/>
          <w:b/>
          <w:bCs/>
          <w:sz w:val="32"/>
          <w:szCs w:val="32"/>
        </w:rPr>
        <w:t>。</w:t>
      </w:r>
      <w:r>
        <w:rPr>
          <w:rFonts w:hint="eastAsia" w:ascii="仿宋" w:hAnsi="仿宋" w:eastAsia="仿宋" w:cs="仿宋"/>
          <w:b w:val="0"/>
          <w:bCs w:val="0"/>
          <w:sz w:val="32"/>
          <w:szCs w:val="32"/>
        </w:rPr>
        <w:t xml:space="preserve"> </w:t>
      </w:r>
    </w:p>
    <w:p>
      <w:pPr>
        <w:keepLines w:val="0"/>
        <w:pageBreakBefore w:val="0"/>
        <w:numPr>
          <w:ilvl w:val="0"/>
          <w:numId w:val="0"/>
        </w:numPr>
        <w:kinsoku/>
        <w:wordWrap/>
        <w:overflowPunct/>
        <w:topLinePunct w:val="0"/>
        <w:bidi w:val="0"/>
        <w:snapToGrid w:val="0"/>
        <w:spacing w:line="560" w:lineRule="exact"/>
        <w:ind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项目一览表</w:t>
      </w:r>
    </w:p>
    <w:tbl>
      <w:tblPr>
        <w:tblStyle w:val="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1774"/>
        <w:gridCol w:w="1774"/>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868" w:type="dxa"/>
            <w:shd w:val="clear" w:color="auto" w:fill="auto"/>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1701" w:type="dxa"/>
            <w:shd w:val="clear" w:color="auto" w:fill="auto"/>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701" w:type="dxa"/>
            <w:shd w:val="clear" w:color="auto" w:fill="auto"/>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服务期</w:t>
            </w:r>
          </w:p>
        </w:tc>
        <w:tc>
          <w:tcPr>
            <w:tcW w:w="2666" w:type="dxa"/>
            <w:shd w:val="clear" w:color="auto" w:fill="auto"/>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最高限价（人民币</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868" w:type="dxa"/>
            <w:noWrap w:val="0"/>
            <w:vAlign w:val="center"/>
          </w:tcPr>
          <w:p>
            <w:pPr>
              <w:keepLines w:val="0"/>
              <w:pageBreakBefore w:val="0"/>
              <w:kinsoku/>
              <w:wordWrap/>
              <w:overflowPunct/>
              <w:topLinePunct w:val="0"/>
              <w:bidi w:val="0"/>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广州市白云</w:t>
            </w:r>
            <w:r>
              <w:rPr>
                <w:rFonts w:hint="eastAsia" w:ascii="仿宋" w:hAnsi="仿宋" w:eastAsia="仿宋" w:cs="仿宋"/>
                <w:bCs/>
                <w:sz w:val="24"/>
                <w:szCs w:val="24"/>
                <w:lang w:eastAsia="zh-CN"/>
              </w:rPr>
              <w:t>区</w:t>
            </w:r>
            <w:r>
              <w:rPr>
                <w:rFonts w:hint="eastAsia" w:ascii="仿宋" w:hAnsi="仿宋" w:eastAsia="仿宋" w:cs="仿宋"/>
                <w:bCs/>
                <w:sz w:val="24"/>
                <w:szCs w:val="24"/>
              </w:rPr>
              <w:t>2021</w:t>
            </w:r>
            <w:r>
              <w:rPr>
                <w:rFonts w:hint="eastAsia" w:ascii="仿宋" w:hAnsi="仿宋" w:eastAsia="仿宋" w:cs="仿宋"/>
                <w:bCs/>
                <w:sz w:val="24"/>
                <w:szCs w:val="24"/>
                <w:lang w:val="en-US" w:eastAsia="zh-CN"/>
              </w:rPr>
              <w:t>-2022</w:t>
            </w:r>
            <w:r>
              <w:rPr>
                <w:rFonts w:hint="eastAsia" w:ascii="仿宋" w:hAnsi="仿宋" w:eastAsia="仿宋" w:cs="仿宋"/>
                <w:bCs/>
                <w:sz w:val="24"/>
                <w:szCs w:val="24"/>
              </w:rPr>
              <w:t>年度社区居家养老服务</w:t>
            </w:r>
            <w:r>
              <w:rPr>
                <w:rFonts w:hint="eastAsia" w:ascii="仿宋" w:hAnsi="仿宋" w:eastAsia="仿宋" w:cs="仿宋"/>
                <w:bCs/>
                <w:sz w:val="24"/>
                <w:szCs w:val="24"/>
                <w:lang w:eastAsia="zh-CN"/>
              </w:rPr>
              <w:t>质量</w:t>
            </w:r>
            <w:r>
              <w:rPr>
                <w:rFonts w:hint="eastAsia" w:ascii="仿宋" w:hAnsi="仿宋" w:eastAsia="仿宋" w:cs="仿宋"/>
                <w:bCs/>
                <w:sz w:val="24"/>
                <w:szCs w:val="24"/>
              </w:rPr>
              <w:t>评估项目</w:t>
            </w:r>
          </w:p>
        </w:tc>
        <w:tc>
          <w:tcPr>
            <w:tcW w:w="1701" w:type="dxa"/>
            <w:noWrap w:val="0"/>
            <w:vAlign w:val="center"/>
          </w:tcPr>
          <w:p>
            <w:pPr>
              <w:pStyle w:val="11"/>
              <w:keepLines w:val="0"/>
              <w:pageBreakBefore w:val="0"/>
              <w:kinsoku/>
              <w:wordWrap/>
              <w:overflowPunct/>
              <w:topLinePunct w:val="0"/>
              <w:bidi w:val="0"/>
              <w:spacing w:line="560" w:lineRule="exact"/>
              <w:jc w:val="center"/>
              <w:rPr>
                <w:rFonts w:hint="eastAsia" w:ascii="仿宋" w:hAnsi="仿宋" w:eastAsia="仿宋" w:cs="仿宋"/>
                <w:snapToGrid/>
                <w:spacing w:val="0"/>
                <w:kern w:val="2"/>
                <w:sz w:val="24"/>
                <w:szCs w:val="24"/>
              </w:rPr>
            </w:pPr>
            <w:r>
              <w:rPr>
                <w:rFonts w:hint="eastAsia" w:ascii="仿宋" w:hAnsi="仿宋" w:eastAsia="仿宋" w:cs="仿宋"/>
                <w:snapToGrid/>
                <w:spacing w:val="0"/>
                <w:kern w:val="2"/>
                <w:sz w:val="24"/>
                <w:szCs w:val="24"/>
              </w:rPr>
              <w:t>1项</w:t>
            </w:r>
          </w:p>
        </w:tc>
        <w:tc>
          <w:tcPr>
            <w:tcW w:w="1701" w:type="dxa"/>
            <w:noWrap w:val="0"/>
            <w:vAlign w:val="center"/>
          </w:tcPr>
          <w:p>
            <w:pPr>
              <w:pStyle w:val="11"/>
              <w:keepLines w:val="0"/>
              <w:pageBreakBefore w:val="0"/>
              <w:kinsoku/>
              <w:wordWrap/>
              <w:overflowPunct/>
              <w:topLinePunct w:val="0"/>
              <w:bidi w:val="0"/>
              <w:spacing w:line="560" w:lineRule="exact"/>
              <w:jc w:val="center"/>
              <w:rPr>
                <w:rFonts w:hint="eastAsia" w:ascii="仿宋" w:hAnsi="仿宋" w:eastAsia="仿宋" w:cs="仿宋"/>
                <w:snapToGrid/>
                <w:spacing w:val="0"/>
                <w:kern w:val="2"/>
                <w:sz w:val="24"/>
                <w:szCs w:val="24"/>
                <w:lang w:eastAsia="zh-CN"/>
              </w:rPr>
            </w:pPr>
            <w:r>
              <w:rPr>
                <w:rFonts w:hint="eastAsia" w:ascii="仿宋" w:hAnsi="仿宋" w:eastAsia="仿宋" w:cs="仿宋"/>
                <w:sz w:val="24"/>
                <w:szCs w:val="24"/>
                <w:lang w:eastAsia="zh-CN"/>
              </w:rPr>
              <w:t>一年</w:t>
            </w:r>
          </w:p>
        </w:tc>
        <w:tc>
          <w:tcPr>
            <w:tcW w:w="2666" w:type="dxa"/>
            <w:noWrap w:val="0"/>
            <w:vAlign w:val="center"/>
          </w:tcPr>
          <w:p>
            <w:pPr>
              <w:pStyle w:val="11"/>
              <w:keepLines w:val="0"/>
              <w:pageBreakBefore w:val="0"/>
              <w:kinsoku/>
              <w:wordWrap/>
              <w:overflowPunct/>
              <w:topLinePunct w:val="0"/>
              <w:bidi w:val="0"/>
              <w:spacing w:line="560" w:lineRule="exact"/>
              <w:jc w:val="center"/>
              <w:rPr>
                <w:rFonts w:hint="eastAsia" w:ascii="仿宋" w:hAnsi="仿宋" w:eastAsia="仿宋" w:cs="仿宋"/>
                <w:snapToGrid/>
                <w:spacing w:val="0"/>
                <w:kern w:val="2"/>
                <w:sz w:val="24"/>
                <w:szCs w:val="24"/>
              </w:rPr>
            </w:pPr>
            <w:r>
              <w:rPr>
                <w:rFonts w:hint="eastAsia" w:ascii="仿宋" w:hAnsi="仿宋" w:eastAsia="仿宋" w:cs="仿宋"/>
                <w:snapToGrid/>
                <w:spacing w:val="0"/>
                <w:kern w:val="2"/>
                <w:sz w:val="24"/>
                <w:szCs w:val="24"/>
                <w:lang w:val="en-US" w:eastAsia="zh-CN"/>
              </w:rPr>
              <w:t>20万</w:t>
            </w:r>
            <w:r>
              <w:rPr>
                <w:rFonts w:hint="eastAsia" w:ascii="仿宋" w:hAnsi="仿宋" w:eastAsia="仿宋" w:cs="仿宋"/>
                <w:snapToGrid/>
                <w:spacing w:val="0"/>
                <w:kern w:val="2"/>
                <w:sz w:val="24"/>
                <w:szCs w:val="24"/>
              </w:rPr>
              <w:t>元</w:t>
            </w:r>
          </w:p>
        </w:tc>
      </w:tr>
    </w:tbl>
    <w:p>
      <w:pPr>
        <w:pStyle w:val="12"/>
        <w:keepLines w:val="0"/>
        <w:pageBreakBefore w:val="0"/>
        <w:kinsoku/>
        <w:wordWrap/>
        <w:overflowPunct/>
        <w:topLinePunct w:val="0"/>
        <w:bidi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二、项目报价</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本项目费用应包括所有因为评估工作产生的费用开支，包括评估人员工资、福利、交通、电话、税费等一切费用。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476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645" w:type="dxa"/>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4769" w:type="dxa"/>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1879" w:type="dxa"/>
            <w:noWrap w:val="0"/>
            <w:vAlign w:val="center"/>
          </w:tcPr>
          <w:p>
            <w:pPr>
              <w:keepLines w:val="0"/>
              <w:pageBreakBefore w:val="0"/>
              <w:kinsoku/>
              <w:wordWrap/>
              <w:overflowPunct/>
              <w:topLinePunct w:val="0"/>
              <w:bidi w:val="0"/>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0" w:hRule="atLeast"/>
          <w:jc w:val="center"/>
        </w:trPr>
        <w:tc>
          <w:tcPr>
            <w:tcW w:w="2645" w:type="dxa"/>
            <w:noWrap w:val="0"/>
            <w:vAlign w:val="center"/>
          </w:tcPr>
          <w:p>
            <w:pPr>
              <w:pStyle w:val="11"/>
              <w:keepNext w:val="0"/>
              <w:keepLines w:val="0"/>
              <w:pageBreakBefore w:val="0"/>
              <w:tabs>
                <w:tab w:val="left" w:pos="360"/>
              </w:tabs>
              <w:kinsoku/>
              <w:wordWrap/>
              <w:overflowPunct/>
              <w:topLinePunct w:val="0"/>
              <w:bidi w:val="0"/>
              <w:adjustRightInd/>
              <w:spacing w:before="0" w:after="0" w:line="240" w:lineRule="auto"/>
              <w:jc w:val="left"/>
              <w:textAlignment w:val="auto"/>
              <w:rPr>
                <w:rFonts w:hint="eastAsia" w:ascii="仿宋" w:hAnsi="仿宋" w:eastAsia="仿宋" w:cs="仿宋"/>
                <w:snapToGrid/>
                <w:spacing w:val="0"/>
                <w:sz w:val="24"/>
                <w:szCs w:val="24"/>
              </w:rPr>
            </w:pPr>
            <w:r>
              <w:rPr>
                <w:rFonts w:hint="eastAsia" w:ascii="仿宋" w:hAnsi="仿宋" w:eastAsia="仿宋" w:cs="仿宋"/>
                <w:bCs/>
                <w:snapToGrid/>
                <w:spacing w:val="0"/>
                <w:kern w:val="2"/>
                <w:sz w:val="24"/>
                <w:szCs w:val="24"/>
                <w:lang w:val="en-US" w:eastAsia="zh-CN" w:bidi="ar-SA"/>
              </w:rPr>
              <w:t>广州市白云2021-2022年度社区居家养老服务质量评估项目</w:t>
            </w:r>
          </w:p>
        </w:tc>
        <w:tc>
          <w:tcPr>
            <w:tcW w:w="4769" w:type="dxa"/>
            <w:noWrap w:val="0"/>
            <w:vAlign w:val="center"/>
          </w:tcPr>
          <w:p>
            <w:pPr>
              <w:pStyle w:val="11"/>
              <w:keepNext w:val="0"/>
              <w:tabs>
                <w:tab w:val="left" w:pos="360"/>
              </w:tabs>
              <w:adjustRightInd/>
              <w:spacing w:before="0" w:after="0" w:line="360" w:lineRule="auto"/>
              <w:jc w:val="left"/>
              <w:textAlignment w:val="auto"/>
              <w:rPr>
                <w:rFonts w:hint="eastAsia" w:ascii="仿宋" w:hAnsi="仿宋" w:eastAsia="仿宋" w:cs="仿宋"/>
                <w:snapToGrid/>
                <w:spacing w:val="0"/>
                <w:sz w:val="24"/>
                <w:szCs w:val="24"/>
              </w:rPr>
            </w:pPr>
            <w:r>
              <w:rPr>
                <w:rFonts w:hint="eastAsia" w:ascii="仿宋" w:hAnsi="仿宋" w:eastAsia="仿宋" w:cs="仿宋"/>
                <w:snapToGrid/>
                <w:spacing w:val="0"/>
                <w:sz w:val="24"/>
                <w:szCs w:val="24"/>
              </w:rPr>
              <w:t>本辖区内政府购买社区居家</w:t>
            </w:r>
            <w:r>
              <w:rPr>
                <w:rFonts w:hint="eastAsia" w:ascii="仿宋" w:hAnsi="仿宋" w:eastAsia="仿宋" w:cs="仿宋"/>
                <w:snapToGrid/>
                <w:spacing w:val="0"/>
                <w:sz w:val="24"/>
                <w:szCs w:val="24"/>
                <w:lang w:eastAsia="zh-CN"/>
              </w:rPr>
              <w:t>养老服务质量评估项目</w:t>
            </w:r>
            <w:r>
              <w:rPr>
                <w:rFonts w:hint="eastAsia" w:ascii="仿宋" w:hAnsi="仿宋" w:eastAsia="仿宋" w:cs="仿宋"/>
                <w:snapToGrid/>
                <w:spacing w:val="0"/>
                <w:sz w:val="24"/>
                <w:szCs w:val="24"/>
              </w:rPr>
              <w:t>包括：</w:t>
            </w:r>
          </w:p>
          <w:p>
            <w:pPr>
              <w:pStyle w:val="11"/>
              <w:keepNext w:val="0"/>
              <w:tabs>
                <w:tab w:val="left" w:pos="360"/>
              </w:tabs>
              <w:adjustRightInd/>
              <w:spacing w:before="0" w:after="0" w:line="360" w:lineRule="auto"/>
              <w:jc w:val="left"/>
              <w:textAlignment w:val="auto"/>
              <w:rPr>
                <w:rFonts w:hint="eastAsia" w:ascii="仿宋" w:hAnsi="仿宋" w:eastAsia="仿宋" w:cs="仿宋"/>
                <w:snapToGrid/>
                <w:spacing w:val="0"/>
                <w:sz w:val="24"/>
                <w:szCs w:val="24"/>
              </w:rPr>
            </w:pPr>
            <w:r>
              <w:rPr>
                <w:rFonts w:hint="eastAsia" w:ascii="仿宋" w:hAnsi="仿宋" w:eastAsia="仿宋" w:cs="仿宋"/>
                <w:snapToGrid/>
                <w:spacing w:val="0"/>
                <w:sz w:val="24"/>
                <w:szCs w:val="24"/>
              </w:rPr>
              <w:t>1.</w:t>
            </w:r>
            <w:r>
              <w:rPr>
                <w:rFonts w:hint="eastAsia" w:ascii="仿宋" w:hAnsi="仿宋" w:eastAsia="仿宋" w:cs="仿宋"/>
                <w:snapToGrid/>
                <w:spacing w:val="0"/>
                <w:sz w:val="24"/>
                <w:szCs w:val="24"/>
                <w:lang w:eastAsia="zh-CN"/>
              </w:rPr>
              <w:t>白云区社区</w:t>
            </w:r>
            <w:r>
              <w:rPr>
                <w:rFonts w:hint="eastAsia" w:ascii="仿宋" w:hAnsi="仿宋" w:eastAsia="仿宋" w:cs="仿宋"/>
                <w:snapToGrid/>
                <w:spacing w:val="0"/>
                <w:sz w:val="24"/>
                <w:szCs w:val="24"/>
              </w:rPr>
              <w:t>居家养老综合服务</w:t>
            </w:r>
            <w:r>
              <w:rPr>
                <w:rFonts w:hint="eastAsia" w:ascii="仿宋" w:hAnsi="仿宋" w:eastAsia="仿宋" w:cs="仿宋"/>
                <w:snapToGrid/>
                <w:spacing w:val="0"/>
                <w:sz w:val="24"/>
                <w:szCs w:val="24"/>
                <w:lang w:eastAsia="zh-CN"/>
              </w:rPr>
              <w:t>平台服务质量评估及财务评估</w:t>
            </w:r>
            <w:r>
              <w:rPr>
                <w:rFonts w:hint="eastAsia" w:ascii="仿宋" w:hAnsi="仿宋" w:eastAsia="仿宋" w:cs="仿宋"/>
                <w:snapToGrid/>
                <w:spacing w:val="0"/>
                <w:sz w:val="24"/>
                <w:szCs w:val="24"/>
              </w:rPr>
              <w:t>；</w:t>
            </w:r>
          </w:p>
          <w:p>
            <w:pPr>
              <w:pStyle w:val="11"/>
              <w:keepNext w:val="0"/>
              <w:tabs>
                <w:tab w:val="left" w:pos="360"/>
              </w:tabs>
              <w:adjustRightInd/>
              <w:spacing w:before="0" w:after="0" w:line="360" w:lineRule="auto"/>
              <w:jc w:val="left"/>
              <w:textAlignment w:val="auto"/>
              <w:rPr>
                <w:rFonts w:hint="eastAsia" w:ascii="仿宋" w:hAnsi="仿宋" w:eastAsia="仿宋" w:cs="仿宋"/>
                <w:snapToGrid/>
                <w:spacing w:val="0"/>
                <w:sz w:val="24"/>
                <w:szCs w:val="24"/>
              </w:rPr>
            </w:pPr>
            <w:r>
              <w:rPr>
                <w:rFonts w:hint="eastAsia" w:ascii="仿宋" w:hAnsi="仿宋" w:eastAsia="仿宋" w:cs="仿宋"/>
                <w:snapToGrid/>
                <w:spacing w:val="0"/>
                <w:sz w:val="24"/>
                <w:szCs w:val="24"/>
              </w:rPr>
              <w:t>2.24个</w:t>
            </w:r>
            <w:r>
              <w:rPr>
                <w:rFonts w:hint="eastAsia" w:ascii="仿宋" w:hAnsi="仿宋" w:eastAsia="仿宋" w:cs="仿宋"/>
                <w:snapToGrid/>
                <w:spacing w:val="0"/>
                <w:sz w:val="24"/>
                <w:szCs w:val="24"/>
                <w:lang w:eastAsia="zh-CN"/>
              </w:rPr>
              <w:t>镇街社区</w:t>
            </w:r>
            <w:r>
              <w:rPr>
                <w:rFonts w:hint="eastAsia" w:ascii="仿宋" w:hAnsi="仿宋" w:eastAsia="仿宋" w:cs="仿宋"/>
                <w:snapToGrid/>
                <w:spacing w:val="0"/>
                <w:sz w:val="24"/>
                <w:szCs w:val="24"/>
              </w:rPr>
              <w:t>居家养老综合服务</w:t>
            </w:r>
            <w:r>
              <w:rPr>
                <w:rFonts w:hint="eastAsia" w:ascii="仿宋" w:hAnsi="仿宋" w:eastAsia="仿宋" w:cs="仿宋"/>
                <w:snapToGrid/>
                <w:spacing w:val="0"/>
                <w:sz w:val="24"/>
                <w:szCs w:val="24"/>
                <w:lang w:eastAsia="zh-CN"/>
              </w:rPr>
              <w:t>中心（颐康中心）服务质量评估及财务评估</w:t>
            </w:r>
            <w:r>
              <w:rPr>
                <w:rFonts w:hint="eastAsia" w:ascii="仿宋" w:hAnsi="仿宋" w:eastAsia="仿宋" w:cs="仿宋"/>
                <w:snapToGrid/>
                <w:spacing w:val="0"/>
                <w:sz w:val="24"/>
                <w:szCs w:val="24"/>
              </w:rPr>
              <w:t>；</w:t>
            </w:r>
          </w:p>
          <w:p>
            <w:pPr>
              <w:pStyle w:val="11"/>
              <w:keepNext w:val="0"/>
              <w:keepLines w:val="0"/>
              <w:pageBreakBefore w:val="0"/>
              <w:tabs>
                <w:tab w:val="left" w:pos="360"/>
              </w:tabs>
              <w:kinsoku/>
              <w:wordWrap/>
              <w:overflowPunct/>
              <w:topLinePunct w:val="0"/>
              <w:bidi w:val="0"/>
              <w:adjustRightInd/>
              <w:spacing w:before="0" w:after="0" w:line="240" w:lineRule="auto"/>
              <w:jc w:val="left"/>
              <w:textAlignment w:val="auto"/>
              <w:rPr>
                <w:rFonts w:hint="eastAsia" w:ascii="仿宋" w:hAnsi="仿宋" w:eastAsia="仿宋" w:cs="仿宋"/>
                <w:snapToGrid/>
                <w:spacing w:val="0"/>
                <w:sz w:val="24"/>
                <w:szCs w:val="24"/>
              </w:rPr>
            </w:pPr>
            <w:r>
              <w:rPr>
                <w:rFonts w:hint="eastAsia" w:ascii="仿宋" w:hAnsi="仿宋" w:eastAsia="仿宋" w:cs="仿宋"/>
                <w:snapToGrid/>
                <w:spacing w:val="0"/>
                <w:sz w:val="24"/>
                <w:szCs w:val="24"/>
              </w:rPr>
              <w:t>3.社区级</w:t>
            </w:r>
            <w:r>
              <w:rPr>
                <w:rFonts w:hint="eastAsia" w:ascii="仿宋" w:hAnsi="仿宋" w:eastAsia="仿宋" w:cs="仿宋"/>
                <w:snapToGrid/>
                <w:spacing w:val="0"/>
                <w:sz w:val="24"/>
                <w:szCs w:val="24"/>
                <w:lang w:eastAsia="zh-CN"/>
              </w:rPr>
              <w:t>居家养老</w:t>
            </w:r>
            <w:r>
              <w:rPr>
                <w:rFonts w:hint="eastAsia" w:ascii="仿宋" w:hAnsi="仿宋" w:eastAsia="仿宋" w:cs="仿宋"/>
                <w:snapToGrid/>
                <w:spacing w:val="0"/>
                <w:sz w:val="24"/>
                <w:szCs w:val="24"/>
              </w:rPr>
              <w:t>服务设施</w:t>
            </w:r>
            <w:r>
              <w:rPr>
                <w:rFonts w:hint="eastAsia" w:ascii="仿宋" w:hAnsi="仿宋" w:eastAsia="仿宋" w:cs="仿宋"/>
                <w:snapToGrid/>
                <w:spacing w:val="0"/>
                <w:sz w:val="24"/>
                <w:szCs w:val="24"/>
                <w:lang w:eastAsia="zh-CN"/>
              </w:rPr>
              <w:t>服务质量评估</w:t>
            </w:r>
            <w:r>
              <w:rPr>
                <w:rFonts w:hint="eastAsia" w:ascii="仿宋" w:hAnsi="仿宋" w:eastAsia="仿宋" w:cs="仿宋"/>
                <w:snapToGrid/>
                <w:spacing w:val="0"/>
                <w:sz w:val="24"/>
                <w:szCs w:val="24"/>
              </w:rPr>
              <w:t>。</w:t>
            </w:r>
          </w:p>
        </w:tc>
        <w:tc>
          <w:tcPr>
            <w:tcW w:w="1879" w:type="dxa"/>
            <w:noWrap w:val="0"/>
            <w:vAlign w:val="center"/>
          </w:tcPr>
          <w:p>
            <w:pPr>
              <w:pStyle w:val="11"/>
              <w:keepNext w:val="0"/>
              <w:keepLines w:val="0"/>
              <w:pageBreakBefore w:val="0"/>
              <w:tabs>
                <w:tab w:val="left" w:pos="360"/>
              </w:tabs>
              <w:kinsoku/>
              <w:wordWrap/>
              <w:overflowPunct/>
              <w:topLinePunct w:val="0"/>
              <w:bidi w:val="0"/>
              <w:adjustRightInd/>
              <w:spacing w:before="0" w:after="0" w:line="560" w:lineRule="exact"/>
              <w:jc w:val="center"/>
              <w:textAlignment w:val="auto"/>
              <w:rPr>
                <w:rFonts w:hint="eastAsia" w:ascii="仿宋" w:hAnsi="仿宋" w:eastAsia="仿宋" w:cs="仿宋"/>
                <w:snapToGrid/>
                <w:spacing w:val="0"/>
                <w:sz w:val="24"/>
                <w:szCs w:val="24"/>
              </w:rPr>
            </w:pPr>
            <w:r>
              <w:rPr>
                <w:rFonts w:hint="eastAsia" w:ascii="仿宋" w:hAnsi="仿宋" w:eastAsia="仿宋" w:cs="仿宋"/>
                <w:snapToGrid/>
                <w:spacing w:val="0"/>
                <w:sz w:val="24"/>
                <w:szCs w:val="24"/>
              </w:rPr>
              <w:t>2</w:t>
            </w:r>
            <w:r>
              <w:rPr>
                <w:rFonts w:hint="eastAsia" w:ascii="仿宋" w:hAnsi="仿宋" w:eastAsia="仿宋" w:cs="仿宋"/>
                <w:snapToGrid/>
                <w:spacing w:val="0"/>
                <w:sz w:val="24"/>
                <w:szCs w:val="24"/>
                <w:lang w:val="en-US" w:eastAsia="zh-CN"/>
              </w:rPr>
              <w:t>0</w:t>
            </w:r>
            <w:r>
              <w:rPr>
                <w:rFonts w:hint="eastAsia" w:ascii="仿宋" w:hAnsi="仿宋" w:eastAsia="仿宋" w:cs="仿宋"/>
                <w:snapToGrid/>
                <w:spacing w:val="0"/>
                <w:sz w:val="24"/>
                <w:szCs w:val="24"/>
              </w:rPr>
              <w:t>万元</w:t>
            </w:r>
          </w:p>
        </w:tc>
      </w:tr>
    </w:tbl>
    <w:p>
      <w:pPr>
        <w:keepLines w:val="0"/>
        <w:pageBreakBefore w:val="0"/>
        <w:kinsoku/>
        <w:wordWrap/>
        <w:overflowPunct/>
        <w:topLinePunct w:val="0"/>
        <w:bidi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三、项目需求</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 w:val="0"/>
          <w:bCs w:val="0"/>
          <w:sz w:val="32"/>
          <w:szCs w:val="32"/>
          <w:lang w:eastAsia="zh-CN"/>
        </w:rPr>
      </w:pPr>
      <w:r>
        <w:rPr>
          <w:rFonts w:hint="eastAsia" w:ascii="楷体" w:hAnsi="楷体" w:eastAsia="楷体" w:cs="楷体"/>
          <w:b/>
          <w:bCs/>
          <w:sz w:val="32"/>
          <w:szCs w:val="32"/>
        </w:rPr>
        <w:t>（一）服务范围：</w:t>
      </w:r>
      <w:r>
        <w:rPr>
          <w:rFonts w:hint="eastAsia" w:ascii="仿宋" w:hAnsi="仿宋" w:eastAsia="仿宋" w:cs="仿宋"/>
          <w:b w:val="0"/>
          <w:bCs w:val="0"/>
          <w:sz w:val="32"/>
          <w:szCs w:val="32"/>
        </w:rPr>
        <w:t>广州市</w:t>
      </w:r>
      <w:r>
        <w:rPr>
          <w:rFonts w:hint="eastAsia" w:ascii="仿宋" w:hAnsi="仿宋" w:eastAsia="仿宋" w:cs="仿宋"/>
          <w:b w:val="0"/>
          <w:bCs w:val="0"/>
          <w:sz w:val="32"/>
          <w:szCs w:val="32"/>
          <w:lang w:eastAsia="zh-CN"/>
        </w:rPr>
        <w:t>白云区</w:t>
      </w:r>
    </w:p>
    <w:p>
      <w:pPr>
        <w:pStyle w:val="12"/>
        <w:keepLines w:val="0"/>
        <w:pageBreakBefore w:val="0"/>
        <w:kinsoku/>
        <w:wordWrap/>
        <w:overflowPunct/>
        <w:topLinePunct w:val="0"/>
        <w:bidi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（二）服务内容</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根据《广州市民政局关于印发&lt;广州市政府购买社区居家养老服务项目指引&gt;&lt;广州市政府购买老年人照顾需求等级评估项目指引&gt;&lt;广州市政府购买社区居家养老服务评估项目指引&gt;等三份文件的通知》（穗民</w:t>
      </w:r>
      <w:r>
        <w:rPr>
          <w:rFonts w:hint="eastAsia" w:ascii="宋体" w:hAnsi="宋体" w:cs="宋体"/>
          <w:sz w:val="32"/>
          <w:szCs w:val="32"/>
        </w:rPr>
        <w:t>〔</w:t>
      </w:r>
      <w:r>
        <w:rPr>
          <w:rFonts w:hint="eastAsia" w:ascii="仿宋_GB2312" w:hAnsi="仿宋_GB2312" w:eastAsia="仿宋_GB2312" w:cs="仿宋_GB2312"/>
          <w:sz w:val="32"/>
          <w:szCs w:val="32"/>
        </w:rPr>
        <w:t>2019</w:t>
      </w:r>
      <w:r>
        <w:rPr>
          <w:rFonts w:hint="eastAsia" w:ascii="宋体" w:hAnsi="宋体" w:cs="宋体"/>
          <w:sz w:val="32"/>
          <w:szCs w:val="32"/>
        </w:rPr>
        <w:t>〕</w:t>
      </w:r>
      <w:r>
        <w:rPr>
          <w:rFonts w:hint="eastAsia" w:ascii="仿宋_GB2312" w:hAnsi="仿宋_GB2312" w:eastAsia="仿宋_GB2312" w:cs="仿宋_GB2312"/>
          <w:sz w:val="32"/>
          <w:szCs w:val="32"/>
        </w:rPr>
        <w:t>12号）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开展白云区</w:t>
      </w:r>
      <w:r>
        <w:rPr>
          <w:rFonts w:hint="eastAsia" w:ascii="仿宋_GB2312" w:hAnsi="仿宋_GB2312" w:eastAsia="仿宋_GB2312" w:cs="仿宋_GB2312"/>
          <w:sz w:val="32"/>
          <w:szCs w:val="32"/>
          <w:lang w:val="en-US" w:eastAsia="zh-CN"/>
        </w:rPr>
        <w:t>2021-2022年度社区居家养老服务质量评估</w:t>
      </w:r>
      <w:r>
        <w:rPr>
          <w:rFonts w:hint="eastAsia" w:ascii="仿宋_GB2312" w:hAnsi="仿宋_GB2312" w:eastAsia="仿宋_GB2312" w:cs="仿宋_GB2312"/>
          <w:sz w:val="32"/>
          <w:szCs w:val="32"/>
          <w:lang w:eastAsia="zh-CN"/>
        </w:rPr>
        <w:t>工作，</w:t>
      </w:r>
      <w:r>
        <w:rPr>
          <w:rFonts w:hint="eastAsia" w:ascii="仿宋" w:hAnsi="仿宋" w:eastAsia="仿宋" w:cs="仿宋"/>
          <w:bCs/>
          <w:sz w:val="32"/>
          <w:szCs w:val="32"/>
        </w:rPr>
        <w:t>评估结果作为社区居家养老服务项目验收和申请其他社区居家养老服务补助的依据。</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1.评估目标</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（1）全面了解社区居家养老项目运作情况及项目开展服务所取得的成效，评估居家养老服务项目目标的实现程度、专业服务效果及项目资金的使用情况，并根据在评估中发现的问题提出改进建议。</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（2）通过规范化的评估过程，总结社区居家养老服务经验，提炼社区居家养老服务技巧，提升社区居家养老服务水平，推进</w:t>
      </w:r>
      <w:r>
        <w:rPr>
          <w:rFonts w:hint="eastAsia" w:ascii="仿宋" w:hAnsi="仿宋" w:eastAsia="仿宋" w:cs="仿宋"/>
          <w:sz w:val="32"/>
          <w:szCs w:val="32"/>
          <w:lang w:eastAsia="zh-CN"/>
        </w:rPr>
        <w:t>白云区</w:t>
      </w:r>
      <w:r>
        <w:rPr>
          <w:rFonts w:hint="eastAsia" w:ascii="仿宋" w:hAnsi="仿宋" w:eastAsia="仿宋" w:cs="仿宋"/>
          <w:sz w:val="32"/>
          <w:szCs w:val="32"/>
        </w:rPr>
        <w:t>社区居家养老服务的社会化运作和标准化建设，提升服务质量和管理效能。</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（3）根据评估结果，结合</w:t>
      </w:r>
      <w:r>
        <w:rPr>
          <w:rFonts w:hint="eastAsia" w:ascii="仿宋" w:hAnsi="仿宋" w:eastAsia="仿宋" w:cs="仿宋"/>
          <w:sz w:val="32"/>
          <w:szCs w:val="32"/>
          <w:lang w:eastAsia="zh-CN"/>
        </w:rPr>
        <w:t>白云区</w:t>
      </w:r>
      <w:r>
        <w:rPr>
          <w:rFonts w:hint="eastAsia" w:ascii="仿宋" w:hAnsi="仿宋" w:eastAsia="仿宋" w:cs="仿宋"/>
          <w:sz w:val="32"/>
          <w:szCs w:val="32"/>
        </w:rPr>
        <w:t>经济、社会发展的实际与社会需求情况，为</w:t>
      </w:r>
      <w:r>
        <w:rPr>
          <w:rFonts w:hint="eastAsia" w:ascii="仿宋" w:hAnsi="仿宋" w:eastAsia="仿宋" w:cs="仿宋"/>
          <w:sz w:val="32"/>
          <w:szCs w:val="32"/>
          <w:lang w:eastAsia="zh-CN"/>
        </w:rPr>
        <w:t>白云区</w:t>
      </w:r>
      <w:r>
        <w:rPr>
          <w:rFonts w:hint="eastAsia" w:ascii="仿宋" w:hAnsi="仿宋" w:eastAsia="仿宋" w:cs="仿宋"/>
          <w:sz w:val="32"/>
          <w:szCs w:val="32"/>
        </w:rPr>
        <w:t>社区居家养老服务发展模式提出合理化建议，确认社区居家养老服务项目的评估等级和补助标准。</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2.评估原则</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社区居家养老服务评估坚持公开透明、公平公正、客观量化的原则，参照科学的评估标准，评定社区居家养老服务的评估等级和补助标准。</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3.评估内容</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评估</w:t>
      </w:r>
      <w:r>
        <w:rPr>
          <w:rFonts w:hint="eastAsia" w:ascii="仿宋" w:hAnsi="仿宋" w:eastAsia="仿宋" w:cs="仿宋"/>
          <w:sz w:val="32"/>
          <w:szCs w:val="32"/>
        </w:rPr>
        <w:t>对象为</w:t>
      </w:r>
      <w:r>
        <w:rPr>
          <w:rFonts w:hint="eastAsia" w:ascii="仿宋" w:hAnsi="仿宋" w:eastAsia="仿宋" w:cs="仿宋"/>
          <w:sz w:val="32"/>
          <w:szCs w:val="32"/>
          <w:lang w:eastAsia="zh-CN"/>
        </w:rPr>
        <w:t>白云区社区居家养老综合服务平台</w:t>
      </w:r>
      <w:r>
        <w:rPr>
          <w:rFonts w:hint="eastAsia" w:ascii="仿宋" w:hAnsi="仿宋" w:eastAsia="仿宋" w:cs="仿宋"/>
          <w:sz w:val="32"/>
          <w:szCs w:val="32"/>
        </w:rPr>
        <w:t>、</w:t>
      </w:r>
      <w:r>
        <w:rPr>
          <w:rFonts w:hint="eastAsia" w:ascii="仿宋" w:hAnsi="仿宋" w:eastAsia="仿宋" w:cs="仿宋"/>
          <w:sz w:val="32"/>
          <w:szCs w:val="32"/>
          <w:lang w:val="en-US" w:eastAsia="zh-CN"/>
        </w:rPr>
        <w:t>24个</w:t>
      </w:r>
      <w:r>
        <w:rPr>
          <w:rFonts w:hint="eastAsia" w:ascii="仿宋" w:hAnsi="仿宋" w:eastAsia="仿宋" w:cs="仿宋"/>
          <w:sz w:val="32"/>
          <w:szCs w:val="32"/>
          <w:lang w:eastAsia="zh-CN"/>
        </w:rPr>
        <w:t>镇街社区</w:t>
      </w:r>
      <w:r>
        <w:rPr>
          <w:rFonts w:hint="eastAsia" w:ascii="仿宋" w:hAnsi="仿宋" w:eastAsia="仿宋" w:cs="仿宋"/>
          <w:sz w:val="32"/>
          <w:szCs w:val="32"/>
        </w:rPr>
        <w:t>居家养老综合服务</w:t>
      </w:r>
      <w:r>
        <w:rPr>
          <w:rFonts w:hint="eastAsia" w:ascii="仿宋" w:hAnsi="仿宋" w:eastAsia="仿宋" w:cs="仿宋"/>
          <w:sz w:val="32"/>
          <w:szCs w:val="32"/>
          <w:lang w:eastAsia="zh-CN"/>
        </w:rPr>
        <w:t>中心（颐康中心）、社区级服务设施</w:t>
      </w:r>
      <w:r>
        <w:rPr>
          <w:rFonts w:hint="eastAsia" w:ascii="仿宋" w:hAnsi="仿宋" w:eastAsia="仿宋" w:cs="仿宋"/>
          <w:sz w:val="32"/>
          <w:szCs w:val="32"/>
          <w:lang w:val="en-US" w:eastAsia="zh-CN"/>
        </w:rPr>
        <w:t>2021-2022年度</w:t>
      </w:r>
      <w:r>
        <w:rPr>
          <w:rFonts w:hint="eastAsia" w:ascii="仿宋" w:hAnsi="仿宋" w:eastAsia="仿宋" w:cs="仿宋"/>
          <w:sz w:val="32"/>
          <w:szCs w:val="32"/>
        </w:rPr>
        <w:t>所开展的社区居家养老服务项目</w:t>
      </w:r>
      <w:r>
        <w:rPr>
          <w:rFonts w:hint="eastAsia" w:ascii="仿宋" w:hAnsi="仿宋" w:eastAsia="仿宋" w:cs="仿宋"/>
          <w:sz w:val="32"/>
          <w:szCs w:val="32"/>
          <w:lang w:eastAsia="zh-CN"/>
        </w:rPr>
        <w:t>及相关财务评估</w:t>
      </w:r>
      <w:r>
        <w:rPr>
          <w:rFonts w:hint="eastAsia" w:ascii="仿宋" w:hAnsi="仿宋" w:eastAsia="仿宋" w:cs="仿宋"/>
          <w:sz w:val="32"/>
          <w:szCs w:val="32"/>
        </w:rPr>
        <w:t>。服务项目分为上门生活照料、助餐配餐、日间托管、上门医疗、康复护理、临时托养、文化娱乐、精神慰藉、临终关怀、安全援助</w:t>
      </w:r>
      <w:r>
        <w:rPr>
          <w:rFonts w:hint="eastAsia" w:ascii="仿宋" w:hAnsi="仿宋" w:eastAsia="仿宋" w:cs="仿宋"/>
          <w:sz w:val="32"/>
          <w:szCs w:val="32"/>
          <w:lang w:eastAsia="zh-CN"/>
        </w:rPr>
        <w:t>及相关</w:t>
      </w:r>
      <w:r>
        <w:rPr>
          <w:rFonts w:hint="eastAsia" w:ascii="仿宋" w:hAnsi="仿宋" w:eastAsia="仿宋" w:cs="仿宋"/>
          <w:sz w:val="32"/>
          <w:szCs w:val="32"/>
        </w:rPr>
        <w:t>共10项。</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4.评估方式</w:t>
      </w:r>
    </w:p>
    <w:p>
      <w:pPr>
        <w:pStyle w:val="13"/>
        <w:keepLines w:val="0"/>
        <w:pageBreakBefore w:val="0"/>
        <w:kinsoku/>
        <w:wordWrap/>
        <w:overflowPunct/>
        <w:topLinePunct w:val="0"/>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对照广州市社区居家养老服务项目评估指标表开展社区居家养老服务项目评估。服务项目评估应通过服务现场及过程观察、文档查阅、访谈、服务对象满意度调查等方式开展。</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服务现场及过程观察是指对居家养老服务的场地及服务过程进行现场观察并进行信息收集，包括但不限于场地硬件、制度建设、服务人员情况、服务过程等。</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文档查阅是指通过材料收集和查看等方式，查阅居家养老服务机构的各类文件档案，包括但不限于服务对象档案、各类规章制度、服务记录等。</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访谈是指通过与居家养老服务机构的管理人员、服务人员、服务对象、服务对象家属及其相关人员进行交流谈话，包括但不限于工作内容介绍、特殊个案处理经验、服务存在的问题及困难、解决应对的方法等。</w:t>
      </w:r>
    </w:p>
    <w:p>
      <w:pPr>
        <w:pStyle w:val="13"/>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服务对象满意度调查是指对服务内容、收费标准、服务频率、服务态度等满意度进行调查分析和量化评估。</w:t>
      </w:r>
    </w:p>
    <w:p>
      <w:pPr>
        <w:pStyle w:val="12"/>
        <w:keepLines w:val="0"/>
        <w:pageBreakBefore w:val="0"/>
        <w:kinsoku/>
        <w:wordWrap/>
        <w:overflowPunct/>
        <w:topLinePunct w:val="0"/>
        <w:bidi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5.评估报告提交</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估机构须按《广州市社区居家养老服务评估指引（试行）》的要求编写评估报告，现场评估的所有文件须汇总存档。评估报告内容应至少包括评估开展情况、项目及执行基本情况、评估结论及建议。针对评估结果进行分析研究，针对存在的问题和不合格服务项目制定纠正和预防措施。</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评估机构应在实地评估结束后做好服务项目评估记录，在</w:t>
      </w:r>
      <w:r>
        <w:rPr>
          <w:rFonts w:hint="eastAsia" w:ascii="仿宋" w:hAnsi="仿宋" w:eastAsia="仿宋" w:cs="仿宋"/>
          <w:sz w:val="32"/>
          <w:szCs w:val="32"/>
          <w:lang w:eastAsia="zh-CN"/>
        </w:rPr>
        <w:t>每个</w:t>
      </w:r>
      <w:r>
        <w:rPr>
          <w:rFonts w:hint="eastAsia" w:ascii="仿宋" w:hAnsi="仿宋" w:eastAsia="仿宋" w:cs="仿宋"/>
          <w:sz w:val="32"/>
          <w:szCs w:val="32"/>
          <w:lang w:val="en-US" w:eastAsia="zh-CN"/>
        </w:rPr>
        <w:t>社区居</w:t>
      </w:r>
      <w:r>
        <w:rPr>
          <w:rFonts w:hint="eastAsia" w:ascii="仿宋" w:hAnsi="仿宋" w:eastAsia="仿宋" w:cs="仿宋"/>
          <w:sz w:val="32"/>
          <w:szCs w:val="32"/>
        </w:rPr>
        <w:t>家养老综合服务平台所有服务项目评估完成后的10个工作日内完成评估报告的撰写。评估机构应对本年度总体评估情况进行数据汇总与分析，撰写本区的评估总报告并报送区居家养老服务指导中心。评估资料</w:t>
      </w:r>
      <w:r>
        <w:rPr>
          <w:rFonts w:hint="eastAsia" w:ascii="仿宋" w:hAnsi="仿宋" w:eastAsia="仿宋" w:cs="仿宋"/>
          <w:sz w:val="32"/>
          <w:szCs w:val="32"/>
          <w:lang w:eastAsia="zh-CN"/>
        </w:rPr>
        <w:t>全部</w:t>
      </w:r>
      <w:r>
        <w:rPr>
          <w:rFonts w:hint="eastAsia" w:ascii="仿宋" w:hAnsi="仿宋" w:eastAsia="仿宋" w:cs="仿宋"/>
          <w:sz w:val="32"/>
          <w:szCs w:val="32"/>
        </w:rPr>
        <w:t>提交</w:t>
      </w:r>
      <w:r>
        <w:rPr>
          <w:rFonts w:hint="eastAsia" w:ascii="仿宋" w:hAnsi="仿宋" w:eastAsia="仿宋" w:cs="仿宋"/>
          <w:sz w:val="32"/>
          <w:szCs w:val="32"/>
          <w:lang w:eastAsia="zh-CN"/>
        </w:rPr>
        <w:t>给采购方</w:t>
      </w:r>
      <w:r>
        <w:rPr>
          <w:rFonts w:hint="eastAsia" w:ascii="仿宋" w:hAnsi="仿宋" w:eastAsia="仿宋" w:cs="仿宋"/>
          <w:sz w:val="32"/>
          <w:szCs w:val="32"/>
        </w:rPr>
        <w:t>。</w:t>
      </w:r>
    </w:p>
    <w:p>
      <w:pPr>
        <w:pStyle w:val="12"/>
        <w:keepLines w:val="0"/>
        <w:pageBreakBefore w:val="0"/>
        <w:kinsoku/>
        <w:wordWrap/>
        <w:overflowPunct/>
        <w:topLinePunct w:val="0"/>
        <w:bidi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rPr>
        <w:t>承接</w:t>
      </w:r>
      <w:r>
        <w:rPr>
          <w:rFonts w:hint="eastAsia" w:ascii="黑体" w:hAnsi="黑体" w:eastAsia="黑体" w:cs="黑体"/>
          <w:b w:val="0"/>
          <w:bCs/>
          <w:sz w:val="32"/>
          <w:szCs w:val="32"/>
        </w:rPr>
        <w:t>评估机构及人员要求</w:t>
      </w:r>
    </w:p>
    <w:p>
      <w:pPr>
        <w:pStyle w:val="12"/>
        <w:keepLines w:val="0"/>
        <w:pageBreakBefore w:val="0"/>
        <w:kinsoku/>
        <w:wordWrap/>
        <w:overflowPunct/>
        <w:topLinePunct w:val="0"/>
        <w:bidi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承接</w:t>
      </w:r>
      <w:r>
        <w:rPr>
          <w:rFonts w:hint="eastAsia" w:ascii="楷体" w:hAnsi="楷体" w:eastAsia="楷体" w:cs="楷体"/>
          <w:b/>
          <w:bCs/>
          <w:sz w:val="32"/>
          <w:szCs w:val="32"/>
        </w:rPr>
        <w:t>评估机构要求</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合同等约定履行提供服务的义务，认真组织实施项目，按时完成项目任务，保证服务数量、质量和效果，主动接受有关部门、服务对象及社会监督，严禁评估机构将服务项目交由其他服务供应机构实际承担的转包行为。</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有效管理评估全程的相关文件和档案，真实完整记录评估信息，未经服务购买方书面同意，不得以任何形式提供给第三方，不得在参与本项目工作之外使用这些保密信息，不得利用本项目的保密信息数据为其他的单位（包括自办单位）或项目服务。</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.具有合理、详细的项目经费使用计划和预算明细，</w:t>
      </w:r>
      <w:r>
        <w:rPr>
          <w:rFonts w:hint="eastAsia" w:ascii="仿宋" w:hAnsi="仿宋" w:eastAsia="仿宋" w:cs="仿宋"/>
          <w:kern w:val="24"/>
          <w:sz w:val="32"/>
          <w:szCs w:val="32"/>
        </w:rPr>
        <w:t>严格遵守相关财政财务规定，加强自身监督，确保政府购买服务项目资金规范管理和使用，并按要求及时向政府部门提供资金的使用情况、项目执行情况、成果总结等材料</w:t>
      </w:r>
      <w:r>
        <w:rPr>
          <w:rFonts w:hint="eastAsia" w:ascii="仿宋" w:hAnsi="仿宋" w:eastAsia="仿宋" w:cs="仿宋"/>
          <w:bCs/>
          <w:sz w:val="32"/>
          <w:szCs w:val="32"/>
        </w:rPr>
        <w:t>。</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.建立防范服务风险制度，为工作人员购买人身意外保险。</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.建立完善的规章制度和工作流程，包括财务、人事、运营、资产、服务等方面的管理制度和应急措施。</w:t>
      </w:r>
    </w:p>
    <w:p>
      <w:pPr>
        <w:pStyle w:val="12"/>
        <w:keepLines w:val="0"/>
        <w:pageBreakBefore w:val="0"/>
        <w:kinsoku/>
        <w:wordWrap/>
        <w:overflowPunct/>
        <w:topLinePunct w:val="0"/>
        <w:bidi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（二）人员要求</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1.须配备专职的项目管理人员。</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2.须配备一支不少于5人的评估员团队开展本项目</w:t>
      </w:r>
      <w:r>
        <w:rPr>
          <w:rFonts w:hint="eastAsia" w:ascii="仿宋" w:hAnsi="仿宋" w:eastAsia="仿宋" w:cs="仿宋"/>
          <w:sz w:val="32"/>
          <w:szCs w:val="32"/>
          <w:lang w:eastAsia="zh-CN"/>
        </w:rPr>
        <w:t>。</w:t>
      </w:r>
      <w:r>
        <w:rPr>
          <w:rFonts w:hint="eastAsia" w:ascii="仿宋" w:hAnsi="仿宋" w:eastAsia="仿宋" w:cs="仿宋"/>
          <w:sz w:val="32"/>
          <w:szCs w:val="32"/>
        </w:rPr>
        <w:t>评估员应由从事一线养老照护服务5年及以上的工作人员、从事养老服务管理5年及以上的管理人员、从事医疗护理工作3年及以上的执业医师或执业护士、具有中级及以上专业技术职称的财会人员组成。其中从事一线养老照护服务5年及以上的工作人员至少2名，从事养老服务管理5年及以上的管理人员至少1名，中级及以上专业技术职称的财会人员至少1名</w:t>
      </w:r>
      <w:r>
        <w:rPr>
          <w:rFonts w:hint="eastAsia" w:ascii="仿宋" w:hAnsi="仿宋" w:eastAsia="仿宋" w:cs="仿宋"/>
          <w:sz w:val="32"/>
          <w:szCs w:val="32"/>
          <w:lang w:eastAsia="zh-CN"/>
        </w:rPr>
        <w:t>。报名时提供人员名单。</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3.须配备持有财会职业资格证书的人员管理财务。</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4.每次评估由3名评估员同时进行，需有1名从事一线养老照护服务5年及以上的评估员和1名中级及以上专业技术职称的财会人员参与</w:t>
      </w:r>
      <w:r>
        <w:rPr>
          <w:rFonts w:hint="eastAsia" w:ascii="仿宋" w:hAnsi="仿宋" w:eastAsia="仿宋" w:cs="仿宋"/>
          <w:sz w:val="32"/>
          <w:szCs w:val="32"/>
          <w:lang w:eastAsia="zh-CN"/>
        </w:rPr>
        <w:t>；</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5.不属于《广州市政府购买社区居家养老服务评估项目指引（试行）》（</w:t>
      </w:r>
      <w:r>
        <w:rPr>
          <w:rFonts w:hint="eastAsia" w:eastAsia="仿宋_GB2312"/>
          <w:kern w:val="2"/>
          <w:sz w:val="32"/>
          <w:szCs w:val="32"/>
          <w:lang w:eastAsia="zh-CN"/>
        </w:rPr>
        <w:t>穗民规字</w:t>
      </w:r>
      <w:r>
        <w:rPr>
          <w:rFonts w:hint="eastAsia" w:eastAsia="仿宋_GB2312"/>
          <w:kern w:val="24"/>
          <w:sz w:val="32"/>
          <w:szCs w:val="32"/>
        </w:rPr>
        <w:t>〔</w:t>
      </w:r>
      <w:r>
        <w:rPr>
          <w:rFonts w:eastAsia="仿宋_GB2312"/>
          <w:kern w:val="24"/>
          <w:sz w:val="32"/>
          <w:szCs w:val="32"/>
        </w:rPr>
        <w:t>201</w:t>
      </w:r>
      <w:r>
        <w:rPr>
          <w:rFonts w:hint="eastAsia" w:eastAsia="仿宋_GB2312"/>
          <w:kern w:val="24"/>
          <w:sz w:val="32"/>
          <w:szCs w:val="32"/>
          <w:lang w:val="en-US" w:eastAsia="zh-CN"/>
        </w:rPr>
        <w:t>8</w:t>
      </w:r>
      <w:r>
        <w:rPr>
          <w:rFonts w:hint="eastAsia" w:eastAsia="仿宋_GB2312"/>
          <w:kern w:val="24"/>
          <w:sz w:val="32"/>
          <w:szCs w:val="32"/>
        </w:rPr>
        <w:t>〕</w:t>
      </w:r>
      <w:r>
        <w:rPr>
          <w:rFonts w:eastAsia="仿宋_GB2312"/>
          <w:kern w:val="24"/>
          <w:sz w:val="32"/>
          <w:szCs w:val="32"/>
        </w:rPr>
        <w:t>1</w:t>
      </w:r>
      <w:r>
        <w:rPr>
          <w:rFonts w:hint="eastAsia" w:eastAsia="仿宋_GB2312"/>
          <w:kern w:val="24"/>
          <w:sz w:val="32"/>
          <w:szCs w:val="32"/>
          <w:lang w:val="en-US" w:eastAsia="zh-CN"/>
        </w:rPr>
        <w:t>2</w:t>
      </w:r>
      <w:r>
        <w:rPr>
          <w:rFonts w:hint="eastAsia" w:eastAsia="仿宋_GB2312"/>
          <w:kern w:val="24"/>
          <w:sz w:val="32"/>
          <w:szCs w:val="32"/>
        </w:rPr>
        <w:t>号</w:t>
      </w:r>
      <w:r>
        <w:rPr>
          <w:rFonts w:hint="eastAsia" w:eastAsia="仿宋_GB2312"/>
          <w:sz w:val="32"/>
          <w:szCs w:val="32"/>
          <w:lang w:val="en-US" w:eastAsia="zh-CN"/>
        </w:rPr>
        <w:t>）规定“评估机构及其评估人员有下列情形之一的，应当回避”的情形。</w:t>
      </w:r>
    </w:p>
    <w:p>
      <w:pPr>
        <w:pStyle w:val="12"/>
        <w:keepLines w:val="0"/>
        <w:pageBreakBefore w:val="0"/>
        <w:kinsoku/>
        <w:wordWrap/>
        <w:overflowPunct/>
        <w:topLinePunct w:val="0"/>
        <w:bidi w:val="0"/>
        <w:spacing w:line="56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五、评估实施流程</w:t>
      </w:r>
    </w:p>
    <w:p>
      <w:pPr>
        <w:pStyle w:val="12"/>
        <w:keepLines w:val="0"/>
        <w:pageBreakBefore w:val="0"/>
        <w:kinsoku/>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制定评估计划。评估机构应根据服务委托方的需求制定详细的评估方案。</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成立评估小组。明确评估小组成员的工作分工，组织评估团队进行内部培训学习，详细剖析和学习评估指标。</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进行评估准备。安排1名专职工作人员负责与被评估项目的负责人进行工作对接，确认评估时间，准备评估材料。</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组织实施评估。每次评估由3名评估员同时进行，综合采用现场观察、文档查阅、访谈、服务对象满意度调查等方式进行评估并做好记录。3名评估员完成各自模块的评分后，应在现场独立的场室共同逐条合计评估项目的得分，得出最终评分。对有分歧的评分内容项应当由3名评估员再次评估，以人数占多的评估意见为主取分。完成服务项目评估后不向被评估方透露分数，但需现场将改进意见反馈给被评估方。</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评估分数统计。评估机构完成对街道（镇）居家养老综合服务平台或区居家养老综合服务平台的服务项目评估后，按计分规则计算出区级或街道（镇）级居家养老综合服务平台的综合得分。</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撰写评估报告。实地评估结束后，评估员按照科学、客观的原则，以街道（镇）居家养老综合服务平台或区居家养老综合服务平台为单位撰写评估报告，上报区居家养老服务指导中心，同时做好评估数据的统计分析工作。</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复评。社区居家养老服务评估结果由市、区居家养老服务指导中心公示10天，对评估结果有异议的，应在公示期结束后7个工作日内以书面形式向市居家养老服务指导中心提出复评申请，由市居家养老服务指导中心组织复评，复评结果为最终结果。</w:t>
      </w:r>
    </w:p>
    <w:p>
      <w:pPr>
        <w:keepLines w:val="0"/>
        <w:pageBreakBefore w:val="0"/>
        <w:kinsoku/>
        <w:wordWrap/>
        <w:overflowPunct/>
        <w:topLinePunct w:val="0"/>
        <w:bidi w:val="0"/>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六、保密原则</w:t>
      </w:r>
    </w:p>
    <w:p>
      <w:pPr>
        <w:keepLines w:val="0"/>
        <w:pageBreakBefore w:val="0"/>
        <w:kinsoku/>
        <w:wordWrap/>
        <w:overflowPunct/>
        <w:topLinePunct w:val="0"/>
        <w:bidi w:val="0"/>
        <w:spacing w:line="560" w:lineRule="exact"/>
        <w:ind w:firstLine="640" w:firstLineChars="200"/>
        <w:rPr>
          <w:rFonts w:hint="eastAsia" w:ascii="仿宋" w:hAnsi="仿宋" w:eastAsia="仿宋" w:cs="仿宋"/>
          <w:b w:val="0"/>
          <w:bCs w:val="0"/>
          <w:kern w:val="24"/>
          <w:sz w:val="32"/>
          <w:szCs w:val="32"/>
        </w:rPr>
      </w:pPr>
      <w:r>
        <w:rPr>
          <w:rFonts w:hint="eastAsia" w:ascii="仿宋" w:hAnsi="仿宋" w:eastAsia="仿宋" w:cs="仿宋"/>
          <w:b w:val="0"/>
          <w:bCs w:val="0"/>
          <w:kern w:val="24"/>
          <w:sz w:val="32"/>
          <w:szCs w:val="32"/>
        </w:rPr>
        <w:t>评估机构须对本项目涉及的评估相关信息进行保密，未经区民政局书面许可，不得对外披露，不得以任何形式提供给第三方，不得在参与本项目工作之外使用这些保密信息。</w:t>
      </w:r>
    </w:p>
    <w:p>
      <w:pPr>
        <w:keepLines w:val="0"/>
        <w:pageBreakBefore w:val="0"/>
        <w:kinsoku/>
        <w:wordWrap/>
        <w:overflowPunct/>
        <w:topLinePunct w:val="0"/>
        <w:bidi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kern w:val="24"/>
          <w:sz w:val="32"/>
          <w:szCs w:val="32"/>
        </w:rPr>
        <w:t>评估机构在本项目终止后需将项目过程中的所有纸质版、电子版资料移交给区民政局，不得保留以任何形式存储的评估信息数据，不得利用该项目的保密信息数据为其他的单位（包括自办单位）或项目服务。</w:t>
      </w:r>
    </w:p>
    <w:p>
      <w:pPr>
        <w:keepLines w:val="0"/>
        <w:pageBreakBefore w:val="0"/>
        <w:kinsoku/>
        <w:wordWrap/>
        <w:overflowPunct/>
        <w:topLinePunct w:val="0"/>
        <w:bidi w:val="0"/>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七、评估验收</w:t>
      </w:r>
    </w:p>
    <w:p>
      <w:pPr>
        <w:pStyle w:val="12"/>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验收表如下：100分</w:t>
      </w:r>
      <w:r>
        <w:rPr>
          <w:rFonts w:hint="eastAsia" w:ascii="仿宋" w:hAnsi="仿宋" w:eastAsia="仿宋" w:cs="仿宋"/>
          <w:sz w:val="32"/>
          <w:szCs w:val="32"/>
        </w:rPr>
        <w:t>为满分，60分为合格，不满60分为不合格。以60分为界，每低1分服务购买方直接在当期向评估机构支付的费用中扣取1%的违约金。</w:t>
      </w:r>
    </w:p>
    <w:p>
      <w:pPr>
        <w:pStyle w:val="12"/>
        <w:keepLines w:val="0"/>
        <w:pageBreakBefore w:val="0"/>
        <w:kinsoku/>
        <w:wordWrap/>
        <w:overflowPunct/>
        <w:topLinePunct w:val="0"/>
        <w:bidi w:val="0"/>
        <w:spacing w:line="560" w:lineRule="exact"/>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评估验收表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31"/>
        <w:gridCol w:w="4020"/>
        <w:gridCol w:w="765"/>
        <w:gridCol w:w="131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50" w:type="dxa"/>
            <w:noWrap w:val="0"/>
            <w:tcMar>
              <w:top w:w="100" w:type="dxa"/>
              <w:right w:w="100" w:type="dxa"/>
            </w:tcMar>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序号</w:t>
            </w:r>
          </w:p>
        </w:tc>
        <w:tc>
          <w:tcPr>
            <w:tcW w:w="1431" w:type="dxa"/>
            <w:noWrap w:val="0"/>
            <w:tcMar>
              <w:top w:w="100" w:type="dxa"/>
              <w:right w:w="100" w:type="dxa"/>
            </w:tcMar>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评审项目</w:t>
            </w:r>
          </w:p>
        </w:tc>
        <w:tc>
          <w:tcPr>
            <w:tcW w:w="4020" w:type="dxa"/>
            <w:noWrap w:val="0"/>
            <w:tcMar>
              <w:top w:w="100" w:type="dxa"/>
              <w:right w:w="100" w:type="dxa"/>
            </w:tcMar>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评审内容</w:t>
            </w:r>
          </w:p>
        </w:tc>
        <w:tc>
          <w:tcPr>
            <w:tcW w:w="765" w:type="dxa"/>
            <w:noWrap w:val="0"/>
            <w:tcMar>
              <w:top w:w="100" w:type="dxa"/>
              <w:right w:w="100" w:type="dxa"/>
            </w:tcMar>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分值</w:t>
            </w:r>
          </w:p>
        </w:tc>
        <w:tc>
          <w:tcPr>
            <w:tcW w:w="1318" w:type="dxa"/>
            <w:noWrap w:val="0"/>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操作办法</w:t>
            </w:r>
          </w:p>
        </w:tc>
        <w:tc>
          <w:tcPr>
            <w:tcW w:w="793" w:type="dxa"/>
            <w:noWrap w:val="0"/>
            <w:vAlign w:val="center"/>
          </w:tcPr>
          <w:p>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50"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w:t>
            </w:r>
          </w:p>
        </w:tc>
        <w:tc>
          <w:tcPr>
            <w:tcW w:w="1431"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人员配置（15分）</w:t>
            </w:r>
          </w:p>
        </w:tc>
        <w:tc>
          <w:tcPr>
            <w:tcW w:w="4020" w:type="dxa"/>
            <w:noWrap w:val="0"/>
            <w:tcMar>
              <w:top w:w="100" w:type="dxa"/>
              <w:right w:w="100" w:type="dxa"/>
            </w:tcMar>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rPr>
              <w:t>按要求配备评估人员，评估人员具备专业技术条件，每次评估均有3评估员参与，包括1名从事一线养老照护服务5年及以上的评估员和1名中级及以上专业技术职称的财会人员</w:t>
            </w:r>
            <w:r>
              <w:rPr>
                <w:rFonts w:hint="eastAsia" w:ascii="仿宋_GB2312" w:hAnsi="仿宋_GB2312" w:eastAsia="仿宋_GB2312" w:cs="仿宋_GB2312"/>
                <w:sz w:val="24"/>
                <w:lang w:eastAsia="zh-CN"/>
              </w:rPr>
              <w:t>。</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w:t>
            </w:r>
            <w:r>
              <w:rPr>
                <w:rFonts w:hint="eastAsia" w:ascii="仿宋_GB2312" w:hAnsi="仿宋_GB2312" w:eastAsia="仿宋_GB2312" w:cs="仿宋_GB2312"/>
                <w:sz w:val="24"/>
                <w:lang w:eastAsia="zh-CN"/>
              </w:rPr>
              <w:t>、</w:t>
            </w:r>
            <w:bookmarkStart w:id="0" w:name="_GoBack"/>
            <w:bookmarkEnd w:id="0"/>
            <w:r>
              <w:rPr>
                <w:rFonts w:hint="eastAsia" w:ascii="仿宋_GB2312" w:hAnsi="仿宋_GB2312" w:eastAsia="仿宋_GB2312" w:cs="仿宋_GB2312"/>
                <w:sz w:val="24"/>
              </w:rPr>
              <w:t>评估回访</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1431"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4020" w:type="dxa"/>
            <w:noWrap w:val="0"/>
            <w:tcMar>
              <w:top w:w="100" w:type="dxa"/>
              <w:right w:w="100"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评估员能够按流程顺利完成评估，熟悉评估量表及评估工具的使用。</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5</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现场检查</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w:t>
            </w:r>
          </w:p>
        </w:tc>
        <w:tc>
          <w:tcPr>
            <w:tcW w:w="1431"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管理机制（5分）</w:t>
            </w: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建立内部质量管理制度健全，流程规范。</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5</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0"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3</w:t>
            </w:r>
          </w:p>
        </w:tc>
        <w:tc>
          <w:tcPr>
            <w:tcW w:w="1431" w:type="dxa"/>
            <w:vMerge w:val="restart"/>
            <w:noWrap w:val="0"/>
            <w:tcMar>
              <w:top w:w="100" w:type="dxa"/>
              <w:right w:w="100"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完成率</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（20分）</w:t>
            </w: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评估完成率达到100%，没有出现少、漏评估对象的行为。</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1431"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评估员遵照标准规定的评估参数和程序进行专业评判，并完整编写评估报告。</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资料查阅、评估回访</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4</w:t>
            </w:r>
          </w:p>
        </w:tc>
        <w:tc>
          <w:tcPr>
            <w:tcW w:w="1431" w:type="dxa"/>
            <w:noWrap w:val="0"/>
            <w:tcMar>
              <w:top w:w="100" w:type="dxa"/>
              <w:right w:w="100"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评估建档</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（10分）</w:t>
            </w: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妥善保管评估材料，包括签到表、评估现场照片、评估表、评估报告等资料。</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 xml:space="preserve">资料查阅 </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5</w:t>
            </w:r>
          </w:p>
        </w:tc>
        <w:tc>
          <w:tcPr>
            <w:tcW w:w="1431" w:type="dxa"/>
            <w:vMerge w:val="restart"/>
            <w:noWrap w:val="0"/>
            <w:tcMar>
              <w:top w:w="100" w:type="dxa"/>
              <w:right w:w="100"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满意度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（20分）</w:t>
            </w: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评估员行为规范，专业、严谨，评估满意度达到80%以上。（抽样）</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评估回访</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1431"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4020" w:type="dxa"/>
            <w:noWrap w:val="0"/>
            <w:tcMar>
              <w:top w:w="100" w:type="dxa"/>
              <w:right w:w="100" w:type="dxa"/>
            </w:tcMar>
            <w:vAlign w:val="center"/>
          </w:tcPr>
          <w:p>
            <w:pPr>
              <w:snapToGrid w:val="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rPr>
              <w:t>项目开展过程中没有受到被评估方的投诉。</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0"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6</w:t>
            </w:r>
          </w:p>
        </w:tc>
        <w:tc>
          <w:tcPr>
            <w:tcW w:w="1431" w:type="dxa"/>
            <w:vMerge w:val="restart"/>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质量控制（30分）</w:t>
            </w:r>
          </w:p>
        </w:tc>
        <w:tc>
          <w:tcPr>
            <w:tcW w:w="4020" w:type="dxa"/>
            <w:noWrap w:val="0"/>
            <w:tcMar>
              <w:top w:w="100" w:type="dxa"/>
              <w:right w:w="100"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评估报告清晰，内容完善，对评估情况描述准确，对后续服务项目的完善发展提出有效建议。</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w:t>
            </w:r>
          </w:p>
        </w:tc>
        <w:tc>
          <w:tcPr>
            <w:tcW w:w="13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资料查阅</w:t>
            </w:r>
          </w:p>
        </w:tc>
        <w:tc>
          <w:tcPr>
            <w:tcW w:w="793"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0"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1431" w:type="dxa"/>
            <w:vMerge w:val="continue"/>
            <w:noWrap w:val="0"/>
            <w:tcMar>
              <w:top w:w="100" w:type="dxa"/>
              <w:right w:w="100" w:type="dxa"/>
            </w:tcMar>
            <w:vAlign w:val="center"/>
          </w:tcPr>
          <w:p>
            <w:pPr>
              <w:jc w:val="center"/>
              <w:rPr>
                <w:rFonts w:hint="eastAsia" w:ascii="仿宋_GB2312" w:hAnsi="仿宋_GB2312" w:eastAsia="仿宋_GB2312" w:cs="仿宋_GB2312"/>
                <w:sz w:val="24"/>
                <w:szCs w:val="24"/>
              </w:rPr>
            </w:pPr>
          </w:p>
        </w:tc>
        <w:tc>
          <w:tcPr>
            <w:tcW w:w="4020" w:type="dxa"/>
            <w:noWrap w:val="0"/>
            <w:tcMar>
              <w:top w:w="100" w:type="dxa"/>
              <w:right w:w="100"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rPr>
              <w:t>被评估方复核申请率低于90%。</w:t>
            </w:r>
          </w:p>
        </w:tc>
        <w:tc>
          <w:tcPr>
            <w:tcW w:w="765" w:type="dxa"/>
            <w:noWrap w:val="0"/>
            <w:tcMar>
              <w:top w:w="100" w:type="dxa"/>
              <w:right w:w="10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10</w:t>
            </w:r>
          </w:p>
        </w:tc>
        <w:tc>
          <w:tcPr>
            <w:tcW w:w="1318" w:type="dxa"/>
            <w:noWrap w:val="0"/>
            <w:vAlign w:val="center"/>
          </w:tcPr>
          <w:p>
            <w:pPr>
              <w:rPr>
                <w:rFonts w:hint="eastAsia" w:ascii="仿宋_GB2312" w:hAnsi="仿宋_GB2312" w:eastAsia="仿宋_GB2312" w:cs="仿宋_GB2312"/>
                <w:sz w:val="24"/>
                <w:szCs w:val="24"/>
              </w:rPr>
            </w:pPr>
          </w:p>
        </w:tc>
        <w:tc>
          <w:tcPr>
            <w:tcW w:w="793" w:type="dxa"/>
            <w:noWrap w:val="0"/>
            <w:vAlign w:val="center"/>
          </w:tcPr>
          <w:p>
            <w:pPr>
              <w:jc w:val="center"/>
              <w:rPr>
                <w:rFonts w:hint="eastAsia" w:ascii="仿宋_GB2312" w:hAnsi="仿宋_GB2312" w:eastAsia="仿宋_GB2312" w:cs="仿宋_GB2312"/>
                <w:sz w:val="24"/>
                <w:szCs w:val="24"/>
              </w:rPr>
            </w:pPr>
          </w:p>
        </w:tc>
      </w:tr>
    </w:tbl>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八、付款方式</w:t>
      </w:r>
    </w:p>
    <w:p>
      <w:pPr>
        <w:pStyle w:val="12"/>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本项目费用按合同约定方式分两次划拨。签订合同即划拨60%经费，评估完成并</w:t>
      </w:r>
      <w:r>
        <w:rPr>
          <w:rFonts w:hint="eastAsia" w:ascii="仿宋" w:hAnsi="仿宋" w:eastAsia="仿宋" w:cs="仿宋"/>
          <w:sz w:val="32"/>
          <w:szCs w:val="32"/>
          <w:lang w:eastAsia="zh-CN"/>
        </w:rPr>
        <w:t>经</w:t>
      </w:r>
      <w:r>
        <w:rPr>
          <w:rFonts w:hint="eastAsia" w:ascii="仿宋" w:hAnsi="仿宋" w:eastAsia="仿宋" w:cs="仿宋"/>
          <w:sz w:val="32"/>
          <w:szCs w:val="32"/>
        </w:rPr>
        <w:t>采购人</w:t>
      </w:r>
      <w:r>
        <w:rPr>
          <w:rFonts w:hint="eastAsia" w:ascii="仿宋" w:hAnsi="仿宋" w:eastAsia="仿宋" w:cs="仿宋"/>
          <w:sz w:val="32"/>
          <w:szCs w:val="32"/>
          <w:lang w:eastAsia="zh-CN"/>
        </w:rPr>
        <w:t>验收合格</w:t>
      </w:r>
      <w:r>
        <w:rPr>
          <w:rFonts w:hint="eastAsia" w:ascii="仿宋" w:hAnsi="仿宋" w:eastAsia="仿宋" w:cs="仿宋"/>
          <w:sz w:val="32"/>
          <w:szCs w:val="32"/>
        </w:rPr>
        <w:t>后拨付剩余40%经费。</w:t>
      </w:r>
    </w:p>
    <w:p>
      <w:pPr>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rPr>
      </w:pPr>
    </w:p>
    <w:sectPr>
      <w:head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6F88"/>
    <w:rsid w:val="00A83919"/>
    <w:rsid w:val="02D70791"/>
    <w:rsid w:val="04400AE1"/>
    <w:rsid w:val="05E4213E"/>
    <w:rsid w:val="0792068F"/>
    <w:rsid w:val="09C36E30"/>
    <w:rsid w:val="0B134CD1"/>
    <w:rsid w:val="0B354240"/>
    <w:rsid w:val="0CBB1E4D"/>
    <w:rsid w:val="0CDB1FA2"/>
    <w:rsid w:val="11B65EF0"/>
    <w:rsid w:val="127A53A4"/>
    <w:rsid w:val="12A5121F"/>
    <w:rsid w:val="165319E5"/>
    <w:rsid w:val="19DF038D"/>
    <w:rsid w:val="1A4A141A"/>
    <w:rsid w:val="1CB111AB"/>
    <w:rsid w:val="1E262F19"/>
    <w:rsid w:val="1E472A89"/>
    <w:rsid w:val="204E0DC4"/>
    <w:rsid w:val="20D46D08"/>
    <w:rsid w:val="21343814"/>
    <w:rsid w:val="21CB5418"/>
    <w:rsid w:val="22B27453"/>
    <w:rsid w:val="23B6317E"/>
    <w:rsid w:val="241B4CAE"/>
    <w:rsid w:val="24401B88"/>
    <w:rsid w:val="25E960B2"/>
    <w:rsid w:val="29001158"/>
    <w:rsid w:val="291A2DF7"/>
    <w:rsid w:val="29C01F43"/>
    <w:rsid w:val="2A963838"/>
    <w:rsid w:val="2B562A41"/>
    <w:rsid w:val="2ED100EB"/>
    <w:rsid w:val="2F7B2AB0"/>
    <w:rsid w:val="301E3F1E"/>
    <w:rsid w:val="30A94848"/>
    <w:rsid w:val="30C66E04"/>
    <w:rsid w:val="322238D1"/>
    <w:rsid w:val="33257137"/>
    <w:rsid w:val="33741586"/>
    <w:rsid w:val="34613324"/>
    <w:rsid w:val="3461698E"/>
    <w:rsid w:val="34DD5072"/>
    <w:rsid w:val="35516257"/>
    <w:rsid w:val="35781EFA"/>
    <w:rsid w:val="366D3C35"/>
    <w:rsid w:val="38057C95"/>
    <w:rsid w:val="38145D88"/>
    <w:rsid w:val="382C1FB8"/>
    <w:rsid w:val="3924516B"/>
    <w:rsid w:val="3AC353EE"/>
    <w:rsid w:val="3AD538A5"/>
    <w:rsid w:val="3BFB3DE1"/>
    <w:rsid w:val="3C9F0959"/>
    <w:rsid w:val="3F0A517C"/>
    <w:rsid w:val="400A0A89"/>
    <w:rsid w:val="40905B6B"/>
    <w:rsid w:val="40D7573F"/>
    <w:rsid w:val="41C00ABD"/>
    <w:rsid w:val="431F468E"/>
    <w:rsid w:val="43E050A6"/>
    <w:rsid w:val="451F3636"/>
    <w:rsid w:val="46583616"/>
    <w:rsid w:val="48C537A6"/>
    <w:rsid w:val="490C4BDC"/>
    <w:rsid w:val="4A314B4B"/>
    <w:rsid w:val="4AD43363"/>
    <w:rsid w:val="4E870527"/>
    <w:rsid w:val="4EAE1AC8"/>
    <w:rsid w:val="4F5B4B1D"/>
    <w:rsid w:val="4F650F03"/>
    <w:rsid w:val="4FE14926"/>
    <w:rsid w:val="508257BC"/>
    <w:rsid w:val="52CA3E09"/>
    <w:rsid w:val="52EA229F"/>
    <w:rsid w:val="55567D52"/>
    <w:rsid w:val="56D0724E"/>
    <w:rsid w:val="57500E84"/>
    <w:rsid w:val="57CD63A3"/>
    <w:rsid w:val="58AB736E"/>
    <w:rsid w:val="5A4B36FD"/>
    <w:rsid w:val="5A717588"/>
    <w:rsid w:val="5CFA0D6C"/>
    <w:rsid w:val="5E016734"/>
    <w:rsid w:val="5E624445"/>
    <w:rsid w:val="5EEF50F1"/>
    <w:rsid w:val="5F500D97"/>
    <w:rsid w:val="606B035C"/>
    <w:rsid w:val="646E544F"/>
    <w:rsid w:val="677F29A1"/>
    <w:rsid w:val="6839042D"/>
    <w:rsid w:val="6AE6597D"/>
    <w:rsid w:val="6B367445"/>
    <w:rsid w:val="6CFF7ED3"/>
    <w:rsid w:val="6D037DEA"/>
    <w:rsid w:val="6E136D2D"/>
    <w:rsid w:val="6ECC382A"/>
    <w:rsid w:val="75684BF4"/>
    <w:rsid w:val="75833DBF"/>
    <w:rsid w:val="762F7756"/>
    <w:rsid w:val="786D54B9"/>
    <w:rsid w:val="78E17F17"/>
    <w:rsid w:val="7C3354D1"/>
    <w:rsid w:val="7FFB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 w:type="paragraph" w:styleId="4">
    <w:name w:val="annotation text"/>
    <w:basedOn w:val="1"/>
    <w:unhideWhenUsed/>
    <w:qFormat/>
    <w:uiPriority w:val="99"/>
    <w:pPr>
      <w:jc w:val="left"/>
    </w:pPr>
  </w:style>
  <w:style w:type="paragraph" w:styleId="5">
    <w:name w:val="Plain Text"/>
    <w:basedOn w:val="1"/>
    <w:qFormat/>
    <w:uiPriority w:val="0"/>
    <w:rPr>
      <w:rFonts w:ascii="宋体" w:hAnsi="Courier New"/>
      <w:kern w:val="0"/>
      <w:sz w:val="20"/>
      <w:szCs w:val="21"/>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spacing w:before="240" w:after="60"/>
      <w:jc w:val="center"/>
      <w:outlineLvl w:val="0"/>
    </w:pPr>
    <w:rPr>
      <w:rFonts w:ascii="Cambria" w:hAnsi="Cambria"/>
      <w:b/>
      <w:bCs/>
      <w:kern w:val="0"/>
      <w:sz w:val="32"/>
      <w:szCs w:val="32"/>
    </w:rPr>
  </w:style>
  <w:style w:type="character" w:styleId="10">
    <w:name w:val="annotation reference"/>
    <w:unhideWhenUsed/>
    <w:qFormat/>
    <w:uiPriority w:val="99"/>
    <w:rPr>
      <w:sz w:val="21"/>
      <w:szCs w:val="21"/>
    </w:rPr>
  </w:style>
  <w:style w:type="paragraph" w:customStyle="1" w:styleId="1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2">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paragraph" w:customStyle="1" w:styleId="13">
    <w:name w:val="列出段落1"/>
    <w:basedOn w:val="1"/>
    <w:qFormat/>
    <w:uiPriority w:val="0"/>
    <w:pPr>
      <w:ind w:firstLine="420" w:firstLineChars="200"/>
    </w:pPr>
    <w:rPr>
      <w:kern w:val="0"/>
      <w:sz w:val="20"/>
      <w:szCs w:val="21"/>
    </w:rPr>
  </w:style>
  <w:style w:type="paragraph" w:styleId="14">
    <w:name w:val="List Paragraph"/>
    <w:basedOn w:val="1"/>
    <w:qFormat/>
    <w:uiPriority w:val="34"/>
    <w:pPr>
      <w:ind w:firstLine="420" w:firstLineChars="200"/>
    </w:pPr>
  </w:style>
  <w:style w:type="paragraph" w:customStyle="1" w:styleId="15">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2021-06-29T07:23:00Z</dcterms:created>
  <dc:creator>zhangwei</dc:creator>
  <cp:lastModifiedBy>张薇</cp:lastModifiedBy>
  <cp:lastPrinted>2022-07-28T08:54:00Z</cp:lastPrinted>
  <dcterms:modified xsi:type="dcterms:W3CDTF">2022-07-28T09:09:43Z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