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  <w:bookmarkStart w:id="13" w:name="_GoBack"/>
      <w:bookmarkEnd w:id="13"/>
    </w:p>
    <w:tbl>
      <w:tblPr>
        <w:tblStyle w:val="4"/>
        <w:tblpPr w:leftFromText="180" w:rightFromText="180" w:vertAnchor="text" w:horzAnchor="page" w:tblpX="1189" w:tblpY="900"/>
        <w:tblOverlap w:val="never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040"/>
        <w:gridCol w:w="5700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83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560" w:lineRule="exact"/>
              <w:ind w:left="0" w:right="0" w:firstLine="448" w:firstLineChars="1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44"/>
                <w:szCs w:val="44"/>
                <w:shd w:val="clear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44"/>
                <w:szCs w:val="44"/>
                <w:shd w:val="clear" w:fill="FFFFFF"/>
                <w:lang w:eastAsia="zh-CN"/>
              </w:rPr>
              <w:t>广州市白云区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44"/>
                <w:szCs w:val="44"/>
                <w:shd w:val="clear" w:fill="FFFFFF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44"/>
                <w:szCs w:val="44"/>
                <w:shd w:val="clear" w:fill="FFFFFF"/>
                <w:lang w:eastAsia="zh-CN"/>
              </w:rPr>
              <w:t>赋能乡村振兴 服务奉献白云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44"/>
                <w:szCs w:val="44"/>
                <w:shd w:val="clear" w:fill="FFFFFF"/>
              </w:rPr>
              <w:t>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560" w:lineRule="exact"/>
              <w:ind w:left="0" w:right="0" w:firstLine="0"/>
              <w:jc w:val="center"/>
              <w:rPr>
                <w:rFonts w:hint="eastAsia" w:ascii="Arial" w:eastAsia="方正小标宋简体"/>
                <w:sz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44"/>
                <w:szCs w:val="44"/>
                <w:shd w:val="clear" w:fill="FFFFFF"/>
                <w:lang w:eastAsia="zh-CN"/>
              </w:rPr>
              <w:t>社会组织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44"/>
                <w:szCs w:val="44"/>
                <w:shd w:val="clear" w:fill="FFFFFF"/>
              </w:rPr>
              <w:t>微创投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44"/>
                <w:szCs w:val="44"/>
                <w:shd w:val="clear" w:fill="FFFFFF"/>
                <w:lang w:eastAsia="zh-CN"/>
              </w:rPr>
              <w:t>活动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44"/>
                <w:szCs w:val="44"/>
                <w:shd w:val="clear" w:fill="FFFFFF"/>
              </w:rPr>
              <w:t>项目评审评分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222222"/>
                <w:spacing w:val="4"/>
                <w:sz w:val="44"/>
                <w:szCs w:val="44"/>
                <w:shd w:val="clear" w:fill="FFFFFF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一级指标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二级指标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评审标准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hanging="220" w:hanging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机构的专业性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机构宗旨与项目性质契合度，满分5分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创投主体宗旨、业务范围与项目服务内容相契合，得5分；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创投主体宗旨、业务范围与项目服务内容相关性较小的，0分≤得分≤3分。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制度与团队建设情况，满分5分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具有相关管理制度、项目团队成员具有相关专业资质或工作经验、分工明确，且至少一名成员为机构专职人员的，得5分；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具有相关管理制度，项目团队成员分工清晰，且至少一名成员为机构专职人员的，得3分；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其他视情况得分。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机构等级评估情况，满分5分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获得社会组织评估等级3A及以上的，得5分；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参加等级评估，获得1A及以上的，得2分；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其他情况不得分。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机构党建工作情况，满分5分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已建党组织的，且充分发挥作用的，得5分；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已建党组织的，在党建工作方面有一定经验的，得3分；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无党组织的  不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定位公益性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（15分）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服务范围适配度，满分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项目实施地点为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白云区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，服务指向明确，受益群体精准，服务覆盖范围广，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分&lt;得分≤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项目实施地点为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白云区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，基本满足社会服务需求的，服务覆盖人群范围较小的，1分≤得分</w:t>
            </w:r>
            <w:bookmarkStart w:id="0" w:name="OLE_LINK2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实施地点非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白云区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的，不得分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项目公益色彩突出，满分5分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公益色彩突出，符合民生实际，实施后能够有效推动公益慈善事业发展的，3分&lt;得分</w:t>
            </w:r>
            <w:bookmarkStart w:id="1" w:name="OLE_LINK1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1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项目具有一定的公益特征，一定程度上可以推动公益慈善事业发展的，1分≤得分≤3分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项目公益性定位存疑的，不得分。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方案可行性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(25分)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项目目标界定清晰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满分10分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项目清晰界定了受益对象和受益人数，目标清晰合理，项目成效可衡量，</w:t>
            </w: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项目书撰写规范、逻辑清晰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分&lt;得分≤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项目受益对象、目标和成效界定较清晰，1分≤得分</w:t>
            </w:r>
            <w:bookmarkStart w:id="2" w:name="OLE_LINK4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2"/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项目缺少对受益对象、目标和成效界定的，不得分。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项目进度安排合理，满分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项目进度安排合理，具有清晰工作计划保障目标达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成的，5分&lt;得分≤10分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项目进度安排及工作计划较合理，能够基本保证项目实施和目标达成，3分≤得分</w:t>
            </w:r>
            <w:bookmarkStart w:id="3" w:name="OLE_LINK9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3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项目进度安排合理性不足的，0分≤得分</w:t>
            </w:r>
            <w:bookmarkStart w:id="4" w:name="OLE_LINK1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&lt;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3分</w:t>
            </w:r>
            <w:bookmarkEnd w:id="4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项目设计创新性，满分5分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项目理念具有先进性、能配合党委政府政策落地的，或项目内容新颖、实施模式有新意的，3分&lt;得分≤5分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项目理念先有一定先进性，项目内容较为新颖、实施模式有一定创意的，1分&lt;得分≤3分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项目整体创新性较弱的，0分≤得分≤1分。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项目示范性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(15分)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的</w:t>
            </w: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可推广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性，满分5分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项目运作模式有利于实操借鉴，能有效扩大资金使用效益，3分&lt;得分≤5分;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项目运作模式具有一定推广意义，1分&lt;得分≤3分;项目可推广性不足的，0分≤得分≤1分。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项目</w:t>
            </w: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对推动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乡村振兴</w:t>
            </w: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具有示范性价值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，满分10分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项目具有可持续发展潜力，对推动社会建设具有示范性价值，5分&lt;得分≤10分;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项目运作模式具有一定示范性和可持续发展潜力，3分≤得分≤5分;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项目示范性较弱的，</w:t>
            </w:r>
            <w:bookmarkStart w:id="5" w:name="OLE_LINK12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0分</w:t>
            </w:r>
            <w:bookmarkStart w:id="6" w:name="OLE_LINK11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6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&lt;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3分</w:t>
            </w:r>
            <w:bookmarkEnd w:id="5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经费保障性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分)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预算清晰与合理性，满分10分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有明确、精细的经费预算的，经费预算安排合理，符合现有物价水平的，5分</w:t>
            </w:r>
            <w:bookmarkStart w:id="7" w:name="OLE_LINK3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&lt;</w:t>
            </w:r>
            <w:bookmarkEnd w:id="7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得分≤10分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有明确的经费预算的，经费预算安排比较合理的，3分≤得分</w:t>
            </w:r>
            <w:bookmarkStart w:id="8" w:name="OLE_LINK6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8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经费预算较为笼统的，经费预算安排与项目服务内容关联性较弱的，0分</w:t>
            </w:r>
            <w:bookmarkStart w:id="9" w:name="OLE_LINK5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9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&lt;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申报单位</w:t>
            </w:r>
            <w:r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财务保障，满分10分</w:t>
            </w:r>
          </w:p>
        </w:tc>
        <w:tc>
          <w:tcPr>
            <w:tcW w:w="5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创投主体财务报表详细，且财务状况良好的(新成立创投主体能提供财务制度的),5分&lt;得分</w:t>
            </w:r>
            <w:bookmarkStart w:id="10" w:name="OLE_LINK13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10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创投主体财务状况一般的，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分≤得分≤5分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创投主体财务状况不明的(新成立创投主体未能提供财务制度的),不得分。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自筹配套资金落实，满分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自筹配套资金比例≥40%，配套资金筹集方案科学、可行，清楚说明资金来源的，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分＜得分</w:t>
            </w:r>
            <w:bookmarkStart w:id="11" w:name="OLE_LINK8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≤</w:t>
            </w:r>
            <w:bookmarkEnd w:id="11"/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自筹配套资金比例≥40%，配套资金的筹资方案目标明确、措施可行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分≤得分≤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bookmarkStart w:id="12" w:name="OLE_LINK7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自筹配套资金比例≥40%</w:t>
            </w:r>
            <w:bookmarkEnd w:id="12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，筹集配套资金方案笼统模糊的，不能说明配套资金来源的，不得分。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总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分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135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76AB2"/>
    <w:rsid w:val="00E8160A"/>
    <w:rsid w:val="01204FE7"/>
    <w:rsid w:val="01C002B7"/>
    <w:rsid w:val="01CB2F01"/>
    <w:rsid w:val="02E45BCC"/>
    <w:rsid w:val="0364779F"/>
    <w:rsid w:val="07537A15"/>
    <w:rsid w:val="07FC1127"/>
    <w:rsid w:val="09A24CDB"/>
    <w:rsid w:val="0DA1776A"/>
    <w:rsid w:val="0E0C489A"/>
    <w:rsid w:val="0EDA076B"/>
    <w:rsid w:val="11E00A63"/>
    <w:rsid w:val="126C0647"/>
    <w:rsid w:val="12905384"/>
    <w:rsid w:val="159F4C86"/>
    <w:rsid w:val="15A84FF5"/>
    <w:rsid w:val="1A722F70"/>
    <w:rsid w:val="1D854AFC"/>
    <w:rsid w:val="1F127786"/>
    <w:rsid w:val="1FFF3F0C"/>
    <w:rsid w:val="2000198D"/>
    <w:rsid w:val="20076AB2"/>
    <w:rsid w:val="214B19AF"/>
    <w:rsid w:val="21893A13"/>
    <w:rsid w:val="21947825"/>
    <w:rsid w:val="21B80CDF"/>
    <w:rsid w:val="21B91FE3"/>
    <w:rsid w:val="21D13E07"/>
    <w:rsid w:val="22165BBB"/>
    <w:rsid w:val="22865EB4"/>
    <w:rsid w:val="272A139B"/>
    <w:rsid w:val="28660E58"/>
    <w:rsid w:val="29084DDE"/>
    <w:rsid w:val="29167977"/>
    <w:rsid w:val="2A031B7E"/>
    <w:rsid w:val="2A9815F1"/>
    <w:rsid w:val="2B922289"/>
    <w:rsid w:val="2D2626A0"/>
    <w:rsid w:val="2DD76C40"/>
    <w:rsid w:val="2DD82143"/>
    <w:rsid w:val="2E5A0D13"/>
    <w:rsid w:val="2EAB5D1F"/>
    <w:rsid w:val="2F3C780C"/>
    <w:rsid w:val="3057125D"/>
    <w:rsid w:val="31013C75"/>
    <w:rsid w:val="310E5509"/>
    <w:rsid w:val="314F5F72"/>
    <w:rsid w:val="31CE7B45"/>
    <w:rsid w:val="327A5A60"/>
    <w:rsid w:val="32DE5784"/>
    <w:rsid w:val="32DF3206"/>
    <w:rsid w:val="346C040E"/>
    <w:rsid w:val="358209CB"/>
    <w:rsid w:val="35FA219E"/>
    <w:rsid w:val="36B85A54"/>
    <w:rsid w:val="380E3E07"/>
    <w:rsid w:val="3B5073DC"/>
    <w:rsid w:val="3B7F24AA"/>
    <w:rsid w:val="3C5B6995"/>
    <w:rsid w:val="3CCF0735"/>
    <w:rsid w:val="3D19224B"/>
    <w:rsid w:val="3EAF5B65"/>
    <w:rsid w:val="40595BA0"/>
    <w:rsid w:val="40682937"/>
    <w:rsid w:val="42274E97"/>
    <w:rsid w:val="43372AD6"/>
    <w:rsid w:val="43FD3798"/>
    <w:rsid w:val="44266B5B"/>
    <w:rsid w:val="44433F0D"/>
    <w:rsid w:val="44CA7669"/>
    <w:rsid w:val="458D51A8"/>
    <w:rsid w:val="472033C0"/>
    <w:rsid w:val="475E2EA5"/>
    <w:rsid w:val="4763732D"/>
    <w:rsid w:val="4A5F5A11"/>
    <w:rsid w:val="4D102653"/>
    <w:rsid w:val="4E391564"/>
    <w:rsid w:val="4E622728"/>
    <w:rsid w:val="4EC00544"/>
    <w:rsid w:val="4F547732"/>
    <w:rsid w:val="50D05D25"/>
    <w:rsid w:val="53563145"/>
    <w:rsid w:val="538F7E27"/>
    <w:rsid w:val="54FE5A7F"/>
    <w:rsid w:val="555F6D9E"/>
    <w:rsid w:val="5635357E"/>
    <w:rsid w:val="56600055"/>
    <w:rsid w:val="575B3360"/>
    <w:rsid w:val="58D41047"/>
    <w:rsid w:val="58E169DF"/>
    <w:rsid w:val="5A2F4103"/>
    <w:rsid w:val="5BCB73A7"/>
    <w:rsid w:val="5EA558D6"/>
    <w:rsid w:val="5F5E4D05"/>
    <w:rsid w:val="60465003"/>
    <w:rsid w:val="604F208F"/>
    <w:rsid w:val="60C00E87"/>
    <w:rsid w:val="60FC5A2B"/>
    <w:rsid w:val="61910685"/>
    <w:rsid w:val="64482C14"/>
    <w:rsid w:val="64900E0A"/>
    <w:rsid w:val="65F56152"/>
    <w:rsid w:val="673D196D"/>
    <w:rsid w:val="684410C9"/>
    <w:rsid w:val="684C1B2A"/>
    <w:rsid w:val="6A66349E"/>
    <w:rsid w:val="6AF15601"/>
    <w:rsid w:val="6BC40E5C"/>
    <w:rsid w:val="6BDC4305"/>
    <w:rsid w:val="6C205CF3"/>
    <w:rsid w:val="6C3B7BA1"/>
    <w:rsid w:val="6D5737F1"/>
    <w:rsid w:val="6E0A3294"/>
    <w:rsid w:val="6F7C56F5"/>
    <w:rsid w:val="708539A9"/>
    <w:rsid w:val="71597204"/>
    <w:rsid w:val="719515E7"/>
    <w:rsid w:val="71CE2A46"/>
    <w:rsid w:val="71F02BFB"/>
    <w:rsid w:val="74A17F65"/>
    <w:rsid w:val="74F841F7"/>
    <w:rsid w:val="754664F5"/>
    <w:rsid w:val="762E4274"/>
    <w:rsid w:val="76EE55AC"/>
    <w:rsid w:val="774C154D"/>
    <w:rsid w:val="77FC1EE6"/>
    <w:rsid w:val="78FB568C"/>
    <w:rsid w:val="79F1491F"/>
    <w:rsid w:val="7A16385A"/>
    <w:rsid w:val="7AC8587C"/>
    <w:rsid w:val="7B8B0FA0"/>
    <w:rsid w:val="7B9207C8"/>
    <w:rsid w:val="7BB26AFF"/>
    <w:rsid w:val="7F48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表格文字"/>
    <w:basedOn w:val="7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0"/>
    </w:rPr>
  </w:style>
  <w:style w:type="paragraph" w:customStyle="1" w:styleId="7">
    <w:name w:val="正文 New New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2022-08-24T09:09:00Z</dcterms:created>
  <dc:creator>user</dc:creator>
  <cp:lastModifiedBy>user</cp:lastModifiedBy>
  <dcterms:modified xsi:type="dcterms:W3CDTF">2022-08-25T08:21:01Z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CD6413AF313140A38AE8EB3DABC33B19</vt:lpwstr>
  </property>
</Properties>
</file>