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firstLine="0" w:firstLineChars="0"/>
        <w:jc w:val="left"/>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附件</w:t>
      </w:r>
    </w:p>
    <w:p>
      <w:pPr>
        <w:keepNext w:val="0"/>
        <w:keepLines w:val="0"/>
        <w:pageBreakBefore w:val="0"/>
        <w:widowControl w:val="0"/>
        <w:kinsoku/>
        <w:wordWrap/>
        <w:overflowPunct/>
        <w:topLinePunct w:val="0"/>
        <w:bidi w:val="0"/>
        <w:snapToGrid/>
        <w:spacing w:line="560" w:lineRule="exact"/>
        <w:ind w:firstLine="0" w:firstLineChars="0"/>
        <w:jc w:val="center"/>
        <w:textAlignment w:val="auto"/>
        <w:rPr>
          <w:rFonts w:hint="eastAsia" w:ascii="方正小标宋简体" w:eastAsia="方正小标宋简体"/>
          <w:color w:val="auto"/>
          <w:sz w:val="44"/>
          <w:szCs w:val="44"/>
        </w:rPr>
      </w:pPr>
      <w:r>
        <w:rPr>
          <w:rFonts w:hint="eastAsia" w:ascii="方正小标宋简体" w:hAnsi="宋体" w:eastAsia="方正小标宋简体" w:cs="宋体"/>
          <w:bCs/>
          <w:color w:val="auto"/>
          <w:sz w:val="44"/>
          <w:szCs w:val="44"/>
          <w:lang w:val="en-US" w:eastAsia="zh-CN"/>
        </w:rPr>
        <w:t>广州东至花都天贵城际铁路</w:t>
      </w:r>
      <w:r>
        <w:rPr>
          <w:rFonts w:hint="eastAsia" w:ascii="方正小标宋简体" w:hAnsi="宋体" w:eastAsia="方正小标宋简体" w:cs="宋体"/>
          <w:bCs/>
          <w:color w:val="auto"/>
          <w:sz w:val="44"/>
          <w:szCs w:val="44"/>
        </w:rPr>
        <w:t>项目</w:t>
      </w:r>
      <w:r>
        <w:rPr>
          <w:rFonts w:hint="eastAsia" w:ascii="方正小标宋简体" w:hAnsi="宋体" w:eastAsia="方正小标宋简体" w:cs="宋体"/>
          <w:bCs/>
          <w:color w:val="auto"/>
          <w:sz w:val="44"/>
          <w:szCs w:val="44"/>
          <w:lang w:val="en-US" w:eastAsia="zh-CN"/>
        </w:rPr>
        <w:t>京溪路站</w:t>
      </w:r>
      <w:r>
        <w:rPr>
          <w:rFonts w:hint="eastAsia" w:ascii="方正小标宋简体" w:eastAsia="方正小标宋简体"/>
          <w:color w:val="auto"/>
          <w:sz w:val="44"/>
          <w:szCs w:val="44"/>
        </w:rPr>
        <w:t>国有土地上非住宅房屋</w:t>
      </w:r>
    </w:p>
    <w:p>
      <w:pPr>
        <w:keepNext w:val="0"/>
        <w:keepLines w:val="0"/>
        <w:pageBreakBefore w:val="0"/>
        <w:widowControl w:val="0"/>
        <w:kinsoku/>
        <w:wordWrap/>
        <w:overflowPunct/>
        <w:topLinePunct w:val="0"/>
        <w:bidi w:val="0"/>
        <w:snapToGrid/>
        <w:spacing w:line="560" w:lineRule="exact"/>
        <w:ind w:firstLine="0" w:firstLineChars="0"/>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rPr>
        <w:t>征收补偿方案</w:t>
      </w:r>
    </w:p>
    <w:p>
      <w:pPr>
        <w:keepNext w:val="0"/>
        <w:keepLines w:val="0"/>
        <w:pageBreakBefore w:val="0"/>
        <w:widowControl w:val="0"/>
        <w:kinsoku/>
        <w:wordWrap/>
        <w:overflowPunct/>
        <w:topLinePunct w:val="0"/>
        <w:bidi w:val="0"/>
        <w:snapToGrid/>
        <w:spacing w:line="560" w:lineRule="exact"/>
        <w:ind w:firstLine="0" w:firstLineChars="0"/>
        <w:jc w:val="center"/>
        <w:textAlignment w:val="auto"/>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lang w:val="en-US" w:eastAsia="zh-CN"/>
        </w:rPr>
        <w:t>征求意见</w:t>
      </w:r>
      <w:r>
        <w:rPr>
          <w:rFonts w:hint="eastAsia" w:ascii="楷体_GB2312" w:hAnsi="楷体_GB2312" w:eastAsia="楷体_GB2312" w:cs="楷体_GB2312"/>
          <w:color w:val="auto"/>
          <w:lang w:eastAsia="zh-CN"/>
        </w:rPr>
        <w:t>稿）</w:t>
      </w:r>
    </w:p>
    <w:p>
      <w:pPr>
        <w:keepNext w:val="0"/>
        <w:keepLines w:val="0"/>
        <w:pageBreakBefore w:val="0"/>
        <w:widowControl w:val="0"/>
        <w:kinsoku/>
        <w:wordWrap/>
        <w:overflowPunct/>
        <w:topLinePunct w:val="0"/>
        <w:bidi w:val="0"/>
        <w:snapToGrid/>
        <w:spacing w:line="560" w:lineRule="exact"/>
        <w:ind w:firstLine="0" w:firstLineChars="0"/>
        <w:jc w:val="center"/>
        <w:textAlignment w:val="auto"/>
        <w:rPr>
          <w:rFonts w:ascii="方正小标宋简体" w:eastAsia="方正小标宋简体"/>
          <w:color w:val="auto"/>
          <w:sz w:val="44"/>
          <w:szCs w:val="44"/>
        </w:rPr>
      </w:pPr>
    </w:p>
    <w:p>
      <w:pPr>
        <w:keepNext w:val="0"/>
        <w:keepLines w:val="0"/>
        <w:pageBreakBefore w:val="0"/>
        <w:widowControl w:val="0"/>
        <w:kinsoku/>
        <w:wordWrap/>
        <w:overflowPunct/>
        <w:topLinePunct w:val="0"/>
        <w:bidi w:val="0"/>
        <w:snapToGrid/>
        <w:spacing w:line="560" w:lineRule="exact"/>
        <w:ind w:firstLine="616"/>
        <w:textAlignment w:val="auto"/>
        <w:rPr>
          <w:rFonts w:ascii="Times New Roman" w:hAnsi="Times New Roman"/>
          <w:color w:val="auto"/>
        </w:rPr>
      </w:pPr>
      <w:r>
        <w:rPr>
          <w:rFonts w:ascii="Times New Roman" w:hAnsi="Times New Roman"/>
          <w:color w:val="auto"/>
          <w:spacing w:val="-6"/>
        </w:rPr>
        <w:t>根据《国有土地上房屋征收与补偿条例》（国务院令第590</w:t>
      </w:r>
      <w:r>
        <w:rPr>
          <w:rFonts w:ascii="Times New Roman" w:hAnsi="Times New Roman"/>
          <w:color w:val="auto"/>
        </w:rPr>
        <w:t>号）、</w:t>
      </w:r>
      <w:r>
        <w:rPr>
          <w:color w:val="auto"/>
        </w:rPr>
        <w:t>《广州市人民政府关于印发广州市国有土地上房屋征收与补偿实施办法的通知》（穗府规〔2021〕2号）</w:t>
      </w:r>
      <w:r>
        <w:rPr>
          <w:rFonts w:ascii="Times New Roman" w:hAnsi="Times New Roman"/>
          <w:color w:val="auto"/>
        </w:rPr>
        <w:t>等法律、法规和政策文件的规定，因</w:t>
      </w:r>
      <w:r>
        <w:rPr>
          <w:rFonts w:hint="eastAsia" w:ascii="Times New Roman" w:hAnsi="Times New Roman"/>
          <w:color w:val="auto"/>
        </w:rPr>
        <w:t>广州东至花都天贵城际铁路</w:t>
      </w:r>
      <w:r>
        <w:rPr>
          <w:rFonts w:ascii="Times New Roman" w:hAnsi="Times New Roman"/>
          <w:color w:val="auto"/>
        </w:rPr>
        <w:t>项目建设的需要，广州市白云区人民政府</w:t>
      </w:r>
      <w:r>
        <w:rPr>
          <w:rFonts w:hint="eastAsia"/>
          <w:color w:val="auto"/>
        </w:rPr>
        <w:t>决定</w:t>
      </w:r>
      <w:r>
        <w:rPr>
          <w:rFonts w:ascii="Times New Roman" w:hAnsi="Times New Roman"/>
          <w:color w:val="auto"/>
        </w:rPr>
        <w:t>征收</w:t>
      </w:r>
      <w:r>
        <w:rPr>
          <w:rFonts w:hint="eastAsia" w:ascii="Times New Roman" w:hAnsi="Times New Roman"/>
          <w:color w:val="auto"/>
        </w:rPr>
        <w:t>广州东至花都天贵城际铁路项目</w:t>
      </w:r>
      <w:r>
        <w:rPr>
          <w:rFonts w:hint="eastAsia" w:ascii="Times New Roman" w:hAnsi="Times New Roman"/>
          <w:color w:val="auto"/>
          <w:lang w:val="en-US" w:eastAsia="zh-CN"/>
        </w:rPr>
        <w:t>京溪路站广州衡器厂地块</w:t>
      </w:r>
      <w:r>
        <w:rPr>
          <w:rFonts w:ascii="Times New Roman" w:hAnsi="Times New Roman"/>
          <w:color w:val="auto"/>
        </w:rPr>
        <w:t>国有土地上房屋。现结合</w:t>
      </w:r>
      <w:r>
        <w:rPr>
          <w:rFonts w:hint="eastAsia" w:ascii="Times New Roman" w:hAnsi="Times New Roman"/>
          <w:color w:val="auto"/>
        </w:rPr>
        <w:t>广州东至花都天贵城际铁路</w:t>
      </w:r>
      <w:r>
        <w:rPr>
          <w:rFonts w:ascii="Times New Roman" w:hAnsi="Times New Roman"/>
          <w:color w:val="auto"/>
        </w:rPr>
        <w:t>项目的实际情况，特制定本方案。</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eastAsia="黑体"/>
          <w:color w:val="auto"/>
        </w:rPr>
      </w:pPr>
      <w:r>
        <w:rPr>
          <w:rFonts w:ascii="Times New Roman" w:hAnsi="Times New Roman" w:eastAsia="黑体"/>
          <w:color w:val="auto"/>
        </w:rPr>
        <w:t>一、项目概况</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（一）征收地段的范围：包括</w:t>
      </w:r>
      <w:r>
        <w:rPr>
          <w:rFonts w:hint="eastAsia" w:ascii="Times New Roman" w:hAnsi="Times New Roman"/>
          <w:color w:val="auto"/>
        </w:rPr>
        <w:t>广州东至花都天贵城际铁路</w:t>
      </w:r>
      <w:r>
        <w:rPr>
          <w:rFonts w:ascii="Times New Roman" w:hAnsi="Times New Roman"/>
          <w:color w:val="auto"/>
        </w:rPr>
        <w:t>项目</w:t>
      </w:r>
      <w:r>
        <w:rPr>
          <w:rFonts w:hint="eastAsia" w:ascii="Times New Roman" w:hAnsi="Times New Roman"/>
          <w:color w:val="auto"/>
        </w:rPr>
        <w:t>《建设项目用地预审与选址意见书</w:t>
      </w:r>
      <w:r>
        <w:rPr>
          <w:rFonts w:hint="eastAsia"/>
          <w:color w:val="auto"/>
        </w:rPr>
        <w:t>》</w:t>
      </w:r>
      <w:r>
        <w:rPr>
          <w:rFonts w:hint="eastAsia"/>
          <w:color w:val="auto"/>
          <w:highlight w:val="none"/>
        </w:rPr>
        <w:t>（穗规划资源预选</w:t>
      </w:r>
      <w:r>
        <w:rPr>
          <w:color w:val="auto"/>
          <w:highlight w:val="none"/>
        </w:rPr>
        <w:t>〔</w:t>
      </w:r>
      <w:r>
        <w:rPr>
          <w:rFonts w:hint="eastAsia"/>
          <w:color w:val="auto"/>
          <w:highlight w:val="none"/>
        </w:rPr>
        <w:t>2021</w:t>
      </w:r>
      <w:r>
        <w:rPr>
          <w:color w:val="auto"/>
          <w:highlight w:val="none"/>
        </w:rPr>
        <w:t>〕</w:t>
      </w:r>
      <w:r>
        <w:rPr>
          <w:rFonts w:hint="eastAsia"/>
          <w:color w:val="auto"/>
          <w:highlight w:val="none"/>
        </w:rPr>
        <w:t>1</w:t>
      </w:r>
      <w:r>
        <w:rPr>
          <w:rFonts w:hint="eastAsia"/>
          <w:color w:val="auto"/>
          <w:highlight w:val="none"/>
          <w:lang w:eastAsia="zh-CN"/>
        </w:rPr>
        <w:t>4</w:t>
      </w:r>
      <w:r>
        <w:rPr>
          <w:rFonts w:hint="eastAsia"/>
          <w:color w:val="auto"/>
          <w:highlight w:val="none"/>
          <w:lang w:val="en-US" w:eastAsia="zh-CN"/>
        </w:rPr>
        <w:t>5</w:t>
      </w:r>
      <w:r>
        <w:rPr>
          <w:color w:val="auto"/>
          <w:highlight w:val="none"/>
        </w:rPr>
        <w:t>号</w:t>
      </w:r>
      <w:r>
        <w:rPr>
          <w:rFonts w:hint="eastAsia"/>
          <w:color w:val="auto"/>
          <w:highlight w:val="none"/>
        </w:rPr>
        <w:t>）</w:t>
      </w:r>
      <w:r>
        <w:rPr>
          <w:rFonts w:ascii="Times New Roman" w:hAnsi="Times New Roman"/>
          <w:color w:val="auto"/>
        </w:rPr>
        <w:t>红线范围内的房屋，具体包括广州市白云区</w:t>
      </w:r>
      <w:r>
        <w:rPr>
          <w:rFonts w:hint="eastAsia" w:ascii="Times New Roman" w:hAnsi="Times New Roman"/>
          <w:color w:val="auto"/>
          <w:lang w:val="en-US" w:eastAsia="zh-CN"/>
        </w:rPr>
        <w:t>沙河京溪桥路自编288号1、2、3、4、5、6、7栋</w:t>
      </w:r>
      <w:r>
        <w:rPr>
          <w:rFonts w:hint="eastAsia" w:ascii="Times New Roman" w:hAnsi="Times New Roman"/>
          <w:color w:val="auto"/>
        </w:rPr>
        <w:t>等</w:t>
      </w:r>
      <w:r>
        <w:rPr>
          <w:rFonts w:ascii="Times New Roman" w:hAnsi="Times New Roman"/>
          <w:color w:val="auto"/>
        </w:rPr>
        <w:t>，以及其他附属设施房屋。</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（二）地块规划用途：交通设施用地。</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（三）补偿协议签订期限：自广州市白云区人民政府作出征收决定之日</w:t>
      </w:r>
      <w:r>
        <w:rPr>
          <w:rFonts w:hint="eastAsia" w:ascii="Times New Roman" w:hAnsi="Times New Roman"/>
          <w:color w:val="auto"/>
          <w:lang w:val="en-US" w:eastAsia="zh-CN"/>
        </w:rPr>
        <w:t>起6</w:t>
      </w:r>
      <w:r>
        <w:rPr>
          <w:rFonts w:ascii="Times New Roman" w:hAnsi="Times New Roman"/>
          <w:color w:val="auto"/>
        </w:rPr>
        <w:t>个月内。</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（四）征收补偿工作：由广州市白云区人民政府负责，由广州市白云区人民政府国有土地上房屋征收办公室作为房屋征收部门依法组织实施，并由广州市白云区</w:t>
      </w:r>
      <w:r>
        <w:rPr>
          <w:rFonts w:hint="eastAsia" w:ascii="Times New Roman" w:hAnsi="Times New Roman"/>
          <w:color w:val="auto"/>
          <w:lang w:eastAsia="zh-CN"/>
        </w:rPr>
        <w:t>人民政府</w:t>
      </w:r>
      <w:r>
        <w:rPr>
          <w:rFonts w:hint="eastAsia" w:ascii="Times New Roman" w:hAnsi="Times New Roman"/>
          <w:color w:val="auto"/>
          <w:lang w:val="en-US" w:eastAsia="zh-CN"/>
        </w:rPr>
        <w:t>京溪</w:t>
      </w:r>
      <w:r>
        <w:rPr>
          <w:rFonts w:ascii="Times New Roman" w:hAnsi="Times New Roman"/>
          <w:color w:val="auto"/>
        </w:rPr>
        <w:t>街道办事处作为征收实施单位承担征收与补偿的具体工作。</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eastAsia="黑体"/>
          <w:color w:val="auto"/>
        </w:rPr>
      </w:pPr>
      <w:r>
        <w:rPr>
          <w:rFonts w:ascii="Times New Roman" w:hAnsi="Times New Roman" w:eastAsia="黑体"/>
          <w:color w:val="auto"/>
        </w:rPr>
        <w:t>二、征收补偿对象</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征收范围内，符合以下条件之一的，为本方案的补偿对象：</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（一）拥有</w:t>
      </w:r>
      <w:r>
        <w:rPr>
          <w:rFonts w:ascii="Times New Roman" w:hAnsi="Times New Roman"/>
          <w:color w:val="auto"/>
          <w:spacing w:val="6"/>
        </w:rPr>
        <w:t>合法产权的被</w:t>
      </w:r>
      <w:r>
        <w:rPr>
          <w:rFonts w:ascii="Times New Roman" w:hAnsi="Times New Roman"/>
          <w:color w:val="auto"/>
        </w:rPr>
        <w:t>征收房屋及其附属设施的所有权人。</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（二）未超过批准使用期限的临时建筑使用人。</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（三）历史用房等未经产权登记建筑，且符合相关规定可以给予补偿的使用人。</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eastAsia="黑体"/>
          <w:color w:val="auto"/>
        </w:rPr>
      </w:pPr>
      <w:r>
        <w:rPr>
          <w:rFonts w:ascii="Times New Roman" w:hAnsi="Times New Roman" w:eastAsia="黑体"/>
          <w:color w:val="auto"/>
        </w:rPr>
        <w:t>三、房屋评估</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（一）评估机构的选取。</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1．市住房城乡建</w:t>
      </w:r>
      <w:r>
        <w:rPr>
          <w:rFonts w:ascii="Times New Roman" w:hAnsi="Times New Roman"/>
          <w:color w:val="auto"/>
          <w:spacing w:val="6"/>
        </w:rPr>
        <w:t>设行政主管</w:t>
      </w:r>
      <w:r>
        <w:rPr>
          <w:rFonts w:ascii="Times New Roman" w:hAnsi="Times New Roman"/>
          <w:color w:val="auto"/>
        </w:rPr>
        <w:t>部门及时更新具有相应资质的房地产价格评估机构名录。</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hint="eastAsia" w:ascii="Times New Roman" w:hAnsi="Times New Roman"/>
          <w:color w:val="auto"/>
          <w:lang w:val="en-US" w:eastAsia="zh-CN"/>
        </w:rPr>
        <w:t>自</w:t>
      </w:r>
      <w:r>
        <w:rPr>
          <w:rFonts w:hint="eastAsia" w:ascii="Times New Roman" w:hAnsi="Times New Roman"/>
          <w:color w:val="auto"/>
        </w:rPr>
        <w:t>房屋征收决定公告</w:t>
      </w:r>
      <w:r>
        <w:rPr>
          <w:rFonts w:hint="eastAsia" w:ascii="Times New Roman" w:hAnsi="Times New Roman"/>
          <w:color w:val="auto"/>
          <w:lang w:val="en-US" w:eastAsia="zh-CN"/>
        </w:rPr>
        <w:t>之日起</w:t>
      </w:r>
      <w:r>
        <w:rPr>
          <w:rFonts w:ascii="Times New Roman" w:hAnsi="Times New Roman"/>
          <w:color w:val="auto"/>
        </w:rPr>
        <w:t>30个工作日内，被征收人应在公布的全市国有土地上房屋征收评估机构名录中协商选定房地产价格评估机构；半数以上被征收人共同选定一家房地产价格评估机构，且该房地产价格评估机构于2日内未提出异议的，视为协商选定有效，由房屋征收部门与其签订委托评估合同后进行评估作业。如协商选定不成或评估机构不接受委托的，由房屋征收部门组织被征收人在名录中自愿接受委托的房地产价格评估机构范围内通过摇珠或抽签的方式随机确定。</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2．</w:t>
      </w:r>
      <w:r>
        <w:rPr>
          <w:rFonts w:hint="eastAsia" w:ascii="Times New Roman" w:hAnsi="Times New Roman"/>
          <w:color w:val="auto"/>
        </w:rPr>
        <w:t>房屋征收部门应当在摇珠或抽签前</w:t>
      </w:r>
      <w:r>
        <w:rPr>
          <w:rFonts w:ascii="Times New Roman" w:hAnsi="Times New Roman"/>
          <w:color w:val="auto"/>
        </w:rPr>
        <w:t>5日内在征收范围内公告时间和地点。选取过程应当由公证部门进行公证。</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3．房屋征收部</w:t>
      </w:r>
      <w:r>
        <w:rPr>
          <w:rFonts w:ascii="Times New Roman" w:hAnsi="Times New Roman"/>
          <w:color w:val="auto"/>
          <w:spacing w:val="6"/>
        </w:rPr>
        <w:t>门应当将</w:t>
      </w:r>
      <w:r>
        <w:rPr>
          <w:rFonts w:ascii="Times New Roman" w:hAnsi="Times New Roman"/>
          <w:color w:val="auto"/>
        </w:rPr>
        <w:t>受委托的房地产价格评估机构资质证书、营业执照、注册房地产估价师本人签名的资格证书复印件在征收范围内现场公示。</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（二）评估的时间节点。</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被征收房屋价值评估时点为房屋征收决定公告之日。</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eastAsia="黑体"/>
          <w:color w:val="auto"/>
        </w:rPr>
      </w:pPr>
      <w:r>
        <w:rPr>
          <w:rFonts w:ascii="Times New Roman" w:hAnsi="Times New Roman" w:eastAsia="黑体"/>
          <w:color w:val="auto"/>
        </w:rPr>
        <w:t>四、补偿方式</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根据相关房屋征收政策及该项目的房屋征收工作要求，对本次涉及的国有土地上非住宅房屋原则上实行货币补偿</w:t>
      </w:r>
      <w:r>
        <w:rPr>
          <w:rFonts w:hint="eastAsia" w:ascii="Times New Roman" w:hAnsi="Times New Roman"/>
          <w:color w:val="auto"/>
          <w:lang w:eastAsia="zh-CN"/>
        </w:rPr>
        <w:t>，</w:t>
      </w:r>
      <w:r>
        <w:rPr>
          <w:rFonts w:hint="eastAsia" w:ascii="Times New Roman" w:hAnsi="Times New Roman"/>
          <w:color w:val="auto"/>
        </w:rPr>
        <w:t>被征收人按照评估价格签订房屋征收货币补偿协议</w:t>
      </w:r>
      <w:r>
        <w:rPr>
          <w:rFonts w:ascii="Times New Roman" w:hAnsi="Times New Roman"/>
          <w:color w:val="auto"/>
        </w:rPr>
        <w:t>。</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hint="eastAsia" w:ascii="Times New Roman" w:hAnsi="Times New Roman"/>
          <w:color w:val="auto"/>
        </w:rPr>
        <w:t>已经产权登记的被征收房屋的建筑面积与房屋用途的认定，以不动产登记部门颁发的不动产权证标注的面积和用途为准；不动产权证未标注的或者标注的与不动产登记簿不一致的，以不动产登记簿标注的面积和用途为准</w:t>
      </w:r>
      <w:r>
        <w:rPr>
          <w:rFonts w:ascii="Times New Roman" w:hAnsi="Times New Roman"/>
          <w:color w:val="auto"/>
        </w:rPr>
        <w:t>。</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eastAsia="黑体"/>
          <w:color w:val="auto"/>
        </w:rPr>
      </w:pPr>
      <w:r>
        <w:rPr>
          <w:rFonts w:ascii="Times New Roman" w:hAnsi="Times New Roman" w:eastAsia="黑体"/>
          <w:color w:val="auto"/>
        </w:rPr>
        <w:t>五、奖励与补助</w:t>
      </w:r>
    </w:p>
    <w:p>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eastAsia="仿宋_GB2312"/>
          <w:color w:val="auto"/>
          <w:sz w:val="32"/>
          <w:szCs w:val="32"/>
        </w:rPr>
      </w:pPr>
      <w:r>
        <w:rPr>
          <w:rFonts w:eastAsia="仿宋_GB2312"/>
          <w:color w:val="auto"/>
          <w:sz w:val="32"/>
          <w:szCs w:val="32"/>
        </w:rPr>
        <w:t>（一）搬迁时限奖励。</w:t>
      </w:r>
    </w:p>
    <w:p>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eastAsia="仿宋_GB2312"/>
          <w:color w:val="auto"/>
          <w:sz w:val="32"/>
          <w:szCs w:val="32"/>
          <w:highlight w:val="none"/>
        </w:rPr>
      </w:pPr>
      <w:r>
        <w:rPr>
          <w:rFonts w:eastAsia="仿宋_GB2312"/>
          <w:color w:val="auto"/>
          <w:sz w:val="32"/>
          <w:szCs w:val="32"/>
        </w:rPr>
        <w:t>自作出征收决定之日起</w:t>
      </w:r>
      <w:r>
        <w:rPr>
          <w:rFonts w:hint="eastAsia" w:eastAsia="仿宋_GB2312"/>
          <w:color w:val="auto"/>
          <w:sz w:val="32"/>
          <w:szCs w:val="32"/>
          <w:highlight w:val="none"/>
          <w:lang w:val="en-US" w:eastAsia="zh-CN"/>
        </w:rPr>
        <w:t>6</w:t>
      </w:r>
      <w:r>
        <w:rPr>
          <w:rFonts w:eastAsia="仿宋_GB2312"/>
          <w:color w:val="auto"/>
          <w:sz w:val="32"/>
          <w:szCs w:val="32"/>
          <w:highlight w:val="none"/>
        </w:rPr>
        <w:t>个月内为签约搬迁期限。在签约搬迁期限内，被征收人签订征收补偿协议并移交房屋，按照以下几种形式给予搬迁时限奖励。</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lang w:eastAsia="zh-CN"/>
        </w:rPr>
        <w:t>.</w:t>
      </w:r>
      <w:r>
        <w:rPr>
          <w:rFonts w:ascii="Times New Roman" w:hAnsi="Times New Roman"/>
          <w:color w:val="auto"/>
          <w:highlight w:val="none"/>
        </w:rPr>
        <w:t>房屋被征收人自</w:t>
      </w:r>
      <w:r>
        <w:rPr>
          <w:rFonts w:ascii="Times New Roman" w:hAnsi="Times New Roman"/>
          <w:color w:val="auto"/>
          <w:spacing w:val="6"/>
          <w:highlight w:val="none"/>
        </w:rPr>
        <w:t>作出征收决定</w:t>
      </w:r>
      <w:r>
        <w:rPr>
          <w:rFonts w:ascii="Times New Roman" w:hAnsi="Times New Roman"/>
          <w:color w:val="auto"/>
          <w:highlight w:val="none"/>
        </w:rPr>
        <w:t>之日起</w:t>
      </w:r>
      <w:r>
        <w:rPr>
          <w:rFonts w:hint="eastAsia" w:ascii="Times New Roman" w:hAnsi="Times New Roman"/>
          <w:color w:val="auto"/>
          <w:highlight w:val="none"/>
          <w:lang w:val="en-US" w:eastAsia="zh-CN"/>
        </w:rPr>
        <w:t>4</w:t>
      </w:r>
      <w:r>
        <w:rPr>
          <w:rFonts w:ascii="Times New Roman" w:hAnsi="Times New Roman"/>
          <w:color w:val="auto"/>
          <w:highlight w:val="none"/>
        </w:rPr>
        <w:t>个月内签订征收补偿协议并移交房屋的，按被征收房屋价值的15%给予奖励</w:t>
      </w:r>
      <w:r>
        <w:rPr>
          <w:rFonts w:hint="eastAsia" w:ascii="Times New Roman" w:hAnsi="Times New Roman"/>
          <w:color w:val="auto"/>
          <w:highlight w:val="none"/>
        </w:rPr>
        <w:t>。</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lang w:val="en-US" w:eastAsia="zh-CN"/>
        </w:rPr>
        <w:t>.</w:t>
      </w:r>
      <w:r>
        <w:rPr>
          <w:rFonts w:ascii="Times New Roman" w:hAnsi="Times New Roman"/>
          <w:color w:val="auto"/>
          <w:highlight w:val="none"/>
        </w:rPr>
        <w:t>房屋被征收人自作出征收决定之日起</w:t>
      </w:r>
      <w:r>
        <w:rPr>
          <w:rFonts w:hint="eastAsia" w:ascii="Times New Roman" w:hAnsi="Times New Roman"/>
          <w:color w:val="auto"/>
          <w:highlight w:val="none"/>
          <w:lang w:val="en-US" w:eastAsia="zh-CN"/>
        </w:rPr>
        <w:t>5</w:t>
      </w:r>
      <w:r>
        <w:rPr>
          <w:rFonts w:ascii="Times New Roman" w:hAnsi="Times New Roman"/>
          <w:color w:val="auto"/>
          <w:highlight w:val="none"/>
        </w:rPr>
        <w:t>个月内签订征收补偿协议并移交房屋的，按被征收房屋价值的10%给予奖励</w:t>
      </w:r>
      <w:r>
        <w:rPr>
          <w:rFonts w:hint="eastAsia" w:ascii="Times New Roman" w:hAnsi="Times New Roman"/>
          <w:color w:val="auto"/>
          <w:highlight w:val="none"/>
        </w:rPr>
        <w:t>。</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Times New Roman" w:hAnsi="Times New Roman" w:eastAsia="仿宋_GB2312"/>
          <w:color w:val="auto"/>
          <w:highlight w:val="none"/>
          <w:lang w:eastAsia="zh-CN"/>
        </w:rPr>
      </w:pPr>
      <w:r>
        <w:rPr>
          <w:rFonts w:hint="eastAsia" w:ascii="Times New Roman" w:hAnsi="Times New Roman"/>
          <w:color w:val="auto"/>
          <w:highlight w:val="none"/>
          <w:lang w:val="en-US" w:eastAsia="zh-CN"/>
        </w:rPr>
        <w:t>3.</w:t>
      </w:r>
      <w:r>
        <w:rPr>
          <w:rFonts w:ascii="Times New Roman" w:hAnsi="Times New Roman"/>
          <w:color w:val="auto"/>
          <w:highlight w:val="none"/>
        </w:rPr>
        <w:t>房屋被征收人自作出征收决定之日起</w:t>
      </w:r>
      <w:r>
        <w:rPr>
          <w:rFonts w:hint="eastAsia" w:ascii="Times New Roman" w:hAnsi="Times New Roman"/>
          <w:color w:val="auto"/>
          <w:highlight w:val="none"/>
          <w:lang w:val="en-US" w:eastAsia="zh-CN"/>
        </w:rPr>
        <w:t>6</w:t>
      </w:r>
      <w:r>
        <w:rPr>
          <w:rFonts w:ascii="Times New Roman" w:hAnsi="Times New Roman"/>
          <w:color w:val="auto"/>
          <w:highlight w:val="none"/>
        </w:rPr>
        <w:t>个月内签订征收补偿协议并移交房屋的，按被征收房屋价值的</w:t>
      </w:r>
      <w:r>
        <w:rPr>
          <w:rFonts w:hint="eastAsia" w:ascii="Times New Roman" w:hAnsi="Times New Roman"/>
          <w:color w:val="auto"/>
          <w:highlight w:val="none"/>
          <w:lang w:val="en-US" w:eastAsia="zh-CN"/>
        </w:rPr>
        <w:t>5</w:t>
      </w:r>
      <w:r>
        <w:rPr>
          <w:rFonts w:ascii="Times New Roman" w:hAnsi="Times New Roman"/>
          <w:color w:val="auto"/>
          <w:highlight w:val="none"/>
        </w:rPr>
        <w:t>%给予奖励</w:t>
      </w:r>
      <w:r>
        <w:rPr>
          <w:rFonts w:hint="eastAsia" w:ascii="Times New Roman" w:hAnsi="Times New Roman"/>
          <w:color w:val="auto"/>
          <w:highlight w:val="none"/>
          <w:lang w:eastAsia="zh-CN"/>
        </w:rPr>
        <w:t>。</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hint="eastAsia" w:ascii="Times New Roman" w:hAnsi="Times New Roman"/>
          <w:color w:val="auto"/>
          <w:highlight w:val="none"/>
          <w:lang w:val="en-US" w:eastAsia="zh-CN"/>
        </w:rPr>
        <w:t>4.</w:t>
      </w:r>
      <w:r>
        <w:rPr>
          <w:rFonts w:ascii="Times New Roman" w:hAnsi="Times New Roman"/>
          <w:color w:val="auto"/>
          <w:highlight w:val="none"/>
        </w:rPr>
        <w:t>房屋被征收人自作出征收决定之日起</w:t>
      </w:r>
      <w:r>
        <w:rPr>
          <w:rFonts w:hint="eastAsia" w:ascii="Times New Roman" w:hAnsi="Times New Roman"/>
          <w:color w:val="auto"/>
          <w:highlight w:val="none"/>
          <w:lang w:val="en-US" w:eastAsia="zh-CN"/>
        </w:rPr>
        <w:t>6</w:t>
      </w:r>
      <w:r>
        <w:rPr>
          <w:rFonts w:ascii="Times New Roman" w:hAnsi="Times New Roman"/>
          <w:color w:val="auto"/>
          <w:highlight w:val="none"/>
        </w:rPr>
        <w:t>个月之后签订征收补偿协议或</w:t>
      </w:r>
      <w:bookmarkStart w:id="0" w:name="_GoBack"/>
      <w:bookmarkEnd w:id="0"/>
      <w:r>
        <w:rPr>
          <w:rFonts w:ascii="Times New Roman" w:hAnsi="Times New Roman"/>
          <w:color w:val="auto"/>
          <w:highlight w:val="none"/>
        </w:rPr>
        <w:t>移交房屋的</w:t>
      </w:r>
      <w:r>
        <w:rPr>
          <w:rFonts w:ascii="Times New Roman" w:hAnsi="Times New Roman"/>
          <w:color w:val="auto"/>
        </w:rPr>
        <w:t>，不给予奖励。</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（二）征收奖励。</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按照征收非住宅房屋合法产权面积或符合本方案第六条第（三）项的，一次性给予非住宅房屋被征收人5000元/平方米的征收奖励。</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（三）弃产补助。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被征收人选择货币补偿的，按照征收非住宅房屋合法产权面积或符合本方案第六条第（三）项的，一次性给予非住宅房屋被征收人3000元/平方米的弃产补助。</w:t>
      </w:r>
    </w:p>
    <w:p>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eastAsia="仿宋_GB2312"/>
          <w:color w:val="auto"/>
          <w:sz w:val="32"/>
          <w:szCs w:val="32"/>
        </w:rPr>
      </w:pPr>
      <w:r>
        <w:rPr>
          <w:rFonts w:eastAsia="仿宋_GB2312"/>
          <w:color w:val="auto"/>
          <w:sz w:val="32"/>
          <w:szCs w:val="32"/>
        </w:rPr>
        <w:t>（</w:t>
      </w:r>
      <w:r>
        <w:rPr>
          <w:rFonts w:hint="eastAsia" w:eastAsia="仿宋_GB2312"/>
          <w:color w:val="auto"/>
          <w:sz w:val="32"/>
          <w:szCs w:val="32"/>
          <w:lang w:val="en-US" w:eastAsia="zh-CN"/>
        </w:rPr>
        <w:t>四</w:t>
      </w:r>
      <w:r>
        <w:rPr>
          <w:rFonts w:eastAsia="仿宋_GB2312"/>
          <w:color w:val="auto"/>
          <w:sz w:val="32"/>
          <w:szCs w:val="32"/>
        </w:rPr>
        <w:t>）搬迁费。</w:t>
      </w:r>
    </w:p>
    <w:p>
      <w:pPr>
        <w:pStyle w:val="17"/>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搬迁费（含机器设备的拆卸费、搬运费、安装费、调试费和搬迁后无法恢复使用的生产设备重置费等费用）按有资质的评估机构的评估结果给予补偿。</w:t>
      </w:r>
    </w:p>
    <w:p>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eastAsia="仿宋_GB2312"/>
          <w:color w:val="auto"/>
          <w:sz w:val="32"/>
          <w:szCs w:val="32"/>
        </w:rPr>
      </w:pPr>
      <w:r>
        <w:rPr>
          <w:rFonts w:eastAsia="仿宋_GB2312"/>
          <w:color w:val="auto"/>
          <w:sz w:val="32"/>
          <w:szCs w:val="32"/>
        </w:rPr>
        <w:t>（</w:t>
      </w:r>
      <w:r>
        <w:rPr>
          <w:rFonts w:hint="eastAsia" w:eastAsia="仿宋_GB2312"/>
          <w:color w:val="auto"/>
          <w:sz w:val="32"/>
          <w:szCs w:val="32"/>
          <w:lang w:val="en-US" w:eastAsia="zh-CN"/>
        </w:rPr>
        <w:t>五</w:t>
      </w:r>
      <w:r>
        <w:rPr>
          <w:rFonts w:eastAsia="仿宋_GB2312"/>
          <w:color w:val="auto"/>
          <w:sz w:val="32"/>
          <w:szCs w:val="32"/>
        </w:rPr>
        <w:t>）停产停业损失补偿。</w:t>
      </w:r>
    </w:p>
    <w:p>
      <w:pPr>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olor w:val="auto"/>
          <w:highlight w:val="none"/>
          <w:lang w:val="en-US" w:eastAsia="zh-CN"/>
        </w:rPr>
      </w:pPr>
      <w:r>
        <w:rPr>
          <w:rFonts w:ascii="Times New Roman" w:hAnsi="Times New Roman"/>
          <w:color w:val="auto"/>
        </w:rPr>
        <w:t>对因征收房屋造成被征收人停产停业损失的补偿，根据房屋被征收前的效益、停产停业期限等因素确定。其中，房屋被征收前的效益原则上以房屋征收决定作出前1年内实际月平均税后利润为准，不能提供纳税情况等证明或者无法核算税后利润的，按上年度本地区同行业平均税后利润额或者同类房屋市场租金计算。停产停业期限的确定，选择货币补偿的按6个月计算</w:t>
      </w:r>
      <w:r>
        <w:rPr>
          <w:rFonts w:hint="eastAsia" w:ascii="Times New Roman" w:hAnsi="Times New Roman"/>
          <w:color w:val="auto"/>
          <w:highlight w:val="none"/>
          <w:lang w:val="en-US" w:eastAsia="zh-CN"/>
        </w:rPr>
        <w:t>。</w:t>
      </w:r>
    </w:p>
    <w:p>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eastAsia="仿宋_GB2312"/>
          <w:color w:val="auto"/>
          <w:sz w:val="32"/>
          <w:szCs w:val="32"/>
        </w:rPr>
      </w:pPr>
      <w:r>
        <w:rPr>
          <w:rFonts w:eastAsia="仿宋_GB2312"/>
          <w:color w:val="auto"/>
          <w:sz w:val="32"/>
          <w:szCs w:val="32"/>
        </w:rPr>
        <w:t>（</w:t>
      </w:r>
      <w:r>
        <w:rPr>
          <w:rFonts w:hint="eastAsia" w:eastAsia="仿宋_GB2312"/>
          <w:color w:val="auto"/>
          <w:sz w:val="32"/>
          <w:szCs w:val="32"/>
          <w:lang w:val="en-US" w:eastAsia="zh-CN"/>
        </w:rPr>
        <w:t>六</w:t>
      </w:r>
      <w:r>
        <w:rPr>
          <w:rFonts w:eastAsia="仿宋_GB2312"/>
          <w:color w:val="auto"/>
          <w:sz w:val="32"/>
          <w:szCs w:val="32"/>
        </w:rPr>
        <w:t>）临时安置费。</w:t>
      </w:r>
    </w:p>
    <w:p>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1.参考市住房城乡建设行政主管部门最近一次公布的被征收房屋所处区位同类型租金参考价格，按照被征收房屋面积一次性支付被征收人3个月的临时安置费，临时安置费补偿标准如下：</w:t>
      </w:r>
    </w:p>
    <w:p>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商业房屋：75元/平方米/月。</w:t>
      </w:r>
    </w:p>
    <w:p>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工业房屋：37元/平方米/月。</w:t>
      </w:r>
    </w:p>
    <w:p>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办公房屋：40元/平方米/月。</w:t>
      </w:r>
    </w:p>
    <w:p>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2.其他非住宅房屋按市场评估租金支付临时安置费。</w:t>
      </w:r>
    </w:p>
    <w:p>
      <w:pPr>
        <w:keepNext w:val="0"/>
        <w:keepLines w:val="0"/>
        <w:pageBreakBefore w:val="0"/>
        <w:widowControl w:val="0"/>
        <w:kinsoku/>
        <w:wordWrap/>
        <w:overflowPunct/>
        <w:topLinePunct w:val="0"/>
        <w:bidi w:val="0"/>
        <w:snapToGrid/>
        <w:spacing w:line="560" w:lineRule="exact"/>
        <w:ind w:firstLine="640"/>
        <w:textAlignment w:val="auto"/>
        <w:rPr>
          <w:rFonts w:hint="eastAsia" w:eastAsia="仿宋_GB2312"/>
          <w:color w:val="auto"/>
          <w:sz w:val="32"/>
          <w:szCs w:val="32"/>
        </w:rPr>
      </w:pPr>
      <w:r>
        <w:rPr>
          <w:rFonts w:hint="eastAsia" w:ascii="仿宋_GB2312" w:hAnsi="仿宋_GB2312" w:eastAsia="仿宋_GB2312" w:cs="Times New Roman"/>
          <w:color w:val="auto"/>
          <w:kern w:val="2"/>
          <w:sz w:val="32"/>
          <w:szCs w:val="32"/>
          <w:lang w:val="en-US" w:eastAsia="zh-CN" w:bidi="ar-SA"/>
        </w:rPr>
        <w:t>3.被征收</w:t>
      </w:r>
      <w:r>
        <w:rPr>
          <w:rFonts w:hint="eastAsia" w:eastAsia="仿宋_GB2312"/>
          <w:color w:val="auto"/>
          <w:sz w:val="32"/>
          <w:szCs w:val="32"/>
        </w:rPr>
        <w:t>人如对以上标准存在异议的，可申请评估，评估结果经双方确认后作为补偿依据。</w:t>
      </w:r>
    </w:p>
    <w:p>
      <w:pPr>
        <w:keepNext w:val="0"/>
        <w:keepLines w:val="0"/>
        <w:pageBreakBefore w:val="0"/>
        <w:widowControl w:val="0"/>
        <w:kinsoku/>
        <w:wordWrap/>
        <w:overflowPunct/>
        <w:topLinePunct w:val="0"/>
        <w:bidi w:val="0"/>
        <w:snapToGrid/>
        <w:spacing w:line="560" w:lineRule="exact"/>
        <w:ind w:firstLine="640"/>
        <w:textAlignment w:val="auto"/>
        <w:rPr>
          <w:rFonts w:eastAsia="仿宋_GB2312"/>
          <w:color w:val="auto"/>
          <w:sz w:val="32"/>
          <w:szCs w:val="32"/>
        </w:rPr>
      </w:pPr>
      <w:r>
        <w:rPr>
          <w:rFonts w:ascii="Times New Roman" w:hAnsi="Times New Roman"/>
          <w:color w:val="auto"/>
        </w:rPr>
        <w:t>被征收房屋的生产、经营单位或个人不是被征收人的，被征收人负有清退被征收房屋的责任。被征收人与生产、经营单位或个人有合同约定的，依照约定分配停产停业损失补偿</w:t>
      </w:r>
      <w:r>
        <w:rPr>
          <w:rFonts w:hint="eastAsia" w:ascii="Times New Roman" w:hAnsi="Times New Roman"/>
          <w:color w:val="auto"/>
          <w:lang w:val="en-US" w:eastAsia="zh-CN"/>
        </w:rPr>
        <w:t>和搬迁费、临时安置费</w:t>
      </w:r>
      <w:r>
        <w:rPr>
          <w:rFonts w:ascii="Times New Roman" w:hAnsi="Times New Roman"/>
          <w:color w:val="auto"/>
        </w:rPr>
        <w:t>；没有约定的，由被征收人与生产、经营单位或个人协商分配。</w:t>
      </w:r>
    </w:p>
    <w:p>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六、未经产权登记建筑的补偿标准</w:t>
      </w:r>
    </w:p>
    <w:p>
      <w:pPr>
        <w:keepNext w:val="0"/>
        <w:keepLines w:val="0"/>
        <w:pageBreakBefore w:val="0"/>
        <w:widowControl w:val="0"/>
        <w:kinsoku/>
        <w:wordWrap/>
        <w:overflowPunct/>
        <w:topLinePunct w:val="0"/>
        <w:bidi w:val="0"/>
        <w:snapToGrid/>
        <w:spacing w:line="560" w:lineRule="exact"/>
        <w:ind w:firstLine="640"/>
        <w:textAlignment w:val="auto"/>
        <w:rPr>
          <w:color w:val="auto"/>
        </w:rPr>
      </w:pPr>
      <w:r>
        <w:rPr>
          <w:rFonts w:hint="eastAsia"/>
          <w:color w:val="auto"/>
        </w:rPr>
        <w:t>（一）未超过批准期限的临时建筑，被征收人提供建造依据和发票等证明材料，由具有相应资质的评估机构进行评估，按评估结果给予补偿。</w:t>
      </w:r>
    </w:p>
    <w:p>
      <w:pPr>
        <w:keepNext w:val="0"/>
        <w:keepLines w:val="0"/>
        <w:pageBreakBefore w:val="0"/>
        <w:widowControl w:val="0"/>
        <w:kinsoku/>
        <w:wordWrap/>
        <w:overflowPunct/>
        <w:topLinePunct w:val="0"/>
        <w:bidi w:val="0"/>
        <w:snapToGrid/>
        <w:spacing w:line="560" w:lineRule="exact"/>
        <w:ind w:firstLine="640"/>
        <w:textAlignment w:val="auto"/>
        <w:rPr>
          <w:color w:val="auto"/>
        </w:rPr>
      </w:pPr>
      <w:r>
        <w:rPr>
          <w:rFonts w:hint="eastAsia"/>
          <w:color w:val="auto"/>
        </w:rPr>
        <w:t>（二）对未经产权登记的建筑，认定为违法建筑或超过批准期限的临时建筑的，不予补偿。</w:t>
      </w:r>
    </w:p>
    <w:p>
      <w:pPr>
        <w:keepNext w:val="0"/>
        <w:keepLines w:val="0"/>
        <w:pageBreakBefore w:val="0"/>
        <w:widowControl w:val="0"/>
        <w:kinsoku/>
        <w:wordWrap/>
        <w:overflowPunct/>
        <w:topLinePunct w:val="0"/>
        <w:bidi w:val="0"/>
        <w:snapToGrid/>
        <w:spacing w:line="560" w:lineRule="exact"/>
        <w:ind w:firstLine="640"/>
        <w:textAlignment w:val="auto"/>
        <w:rPr>
          <w:color w:val="auto"/>
        </w:rPr>
      </w:pPr>
      <w:r>
        <w:rPr>
          <w:rFonts w:hint="eastAsia"/>
          <w:color w:val="auto"/>
        </w:rPr>
        <w:t>（三）不属于第一款、第二款情形的未经产权登记的建筑，存在以下情况的，给予货币补偿。</w:t>
      </w:r>
    </w:p>
    <w:p>
      <w:pPr>
        <w:keepNext w:val="0"/>
        <w:keepLines w:val="0"/>
        <w:pageBreakBefore w:val="0"/>
        <w:widowControl w:val="0"/>
        <w:kinsoku/>
        <w:wordWrap/>
        <w:overflowPunct/>
        <w:topLinePunct w:val="0"/>
        <w:bidi w:val="0"/>
        <w:snapToGrid/>
        <w:spacing w:line="560" w:lineRule="exact"/>
        <w:ind w:firstLine="640"/>
        <w:textAlignment w:val="auto"/>
        <w:rPr>
          <w:color w:val="auto"/>
        </w:rPr>
      </w:pPr>
      <w:r>
        <w:rPr>
          <w:rFonts w:hint="eastAsia"/>
          <w:color w:val="auto"/>
        </w:rPr>
        <w:t>1．1967年1月1日前建设的未经产权登记的建筑，</w:t>
      </w:r>
      <w:r>
        <w:rPr>
          <w:color w:val="auto"/>
        </w:rPr>
        <w:t>房屋征收部门</w:t>
      </w:r>
      <w:r>
        <w:rPr>
          <w:rFonts w:hint="eastAsia"/>
          <w:color w:val="auto"/>
        </w:rPr>
        <w:t>可</w:t>
      </w:r>
      <w:r>
        <w:rPr>
          <w:color w:val="auto"/>
        </w:rPr>
        <w:t>按照</w:t>
      </w:r>
      <w:r>
        <w:rPr>
          <w:rFonts w:hint="eastAsia"/>
          <w:color w:val="auto"/>
        </w:rPr>
        <w:t>房屋征收决定之日被征收房屋实际使用性质房地产市场评估价</w:t>
      </w:r>
      <w:r>
        <w:rPr>
          <w:color w:val="auto"/>
        </w:rPr>
        <w:t>给予货币补偿</w:t>
      </w:r>
      <w:r>
        <w:rPr>
          <w:rFonts w:hint="eastAsia"/>
          <w:color w:val="auto"/>
        </w:rPr>
        <w:t>。</w:t>
      </w:r>
    </w:p>
    <w:p>
      <w:pPr>
        <w:keepNext w:val="0"/>
        <w:keepLines w:val="0"/>
        <w:pageBreakBefore w:val="0"/>
        <w:widowControl w:val="0"/>
        <w:kinsoku/>
        <w:wordWrap/>
        <w:overflowPunct/>
        <w:topLinePunct w:val="0"/>
        <w:bidi w:val="0"/>
        <w:snapToGrid/>
        <w:spacing w:line="560" w:lineRule="exact"/>
        <w:ind w:firstLine="640"/>
        <w:textAlignment w:val="auto"/>
        <w:rPr>
          <w:color w:val="auto"/>
        </w:rPr>
      </w:pPr>
      <w:r>
        <w:rPr>
          <w:rFonts w:hint="eastAsia"/>
          <w:color w:val="auto"/>
        </w:rPr>
        <w:t>2．1967年1月1日后至2009年12月31日前建设的未经产权登记的建筑，</w:t>
      </w:r>
      <w:r>
        <w:rPr>
          <w:color w:val="auto"/>
        </w:rPr>
        <w:t>房屋征收部门</w:t>
      </w:r>
      <w:r>
        <w:rPr>
          <w:rFonts w:hint="eastAsia"/>
          <w:color w:val="auto"/>
        </w:rPr>
        <w:t>可</w:t>
      </w:r>
      <w:r>
        <w:rPr>
          <w:color w:val="auto"/>
        </w:rPr>
        <w:t>按照</w:t>
      </w:r>
      <w:r>
        <w:rPr>
          <w:rFonts w:hint="eastAsia"/>
          <w:color w:val="auto"/>
        </w:rPr>
        <w:t>房屋征收决定之日被征收房屋实际使用性质房地产市场评估价</w:t>
      </w:r>
      <w:r>
        <w:rPr>
          <w:color w:val="auto"/>
        </w:rPr>
        <w:t>的60%给予货币补偿。</w:t>
      </w:r>
    </w:p>
    <w:p>
      <w:pPr>
        <w:pStyle w:val="17"/>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Times New Roman" w:hAnsi="Times New Roman" w:eastAsia="仿宋_GB2312" w:cs="Times New Roman"/>
          <w:color w:val="auto"/>
          <w:kern w:val="2"/>
          <w:sz w:val="32"/>
        </w:rPr>
      </w:pPr>
      <w:r>
        <w:rPr>
          <w:rFonts w:hint="eastAsia" w:ascii="Times New Roman" w:hAnsi="Times New Roman" w:eastAsia="仿宋_GB2312" w:cs="Times New Roman"/>
          <w:color w:val="auto"/>
          <w:kern w:val="2"/>
          <w:sz w:val="32"/>
        </w:rPr>
        <w:t>（四）</w:t>
      </w:r>
      <w:r>
        <w:rPr>
          <w:rFonts w:ascii="Times New Roman" w:hAnsi="Times New Roman" w:eastAsia="仿宋_GB2312" w:cs="Times New Roman"/>
          <w:color w:val="auto"/>
          <w:kern w:val="2"/>
          <w:sz w:val="32"/>
        </w:rPr>
        <w:t>对无报建、无任何产权资料、属生活必须使用的设施，补偿单价为：</w:t>
      </w:r>
    </w:p>
    <w:p>
      <w:pPr>
        <w:pStyle w:val="17"/>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A框架结构：1200元/平方米。</w:t>
      </w:r>
    </w:p>
    <w:p>
      <w:pPr>
        <w:pStyle w:val="17"/>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B混合结构：1000元/平方米。</w:t>
      </w:r>
    </w:p>
    <w:p>
      <w:pPr>
        <w:pStyle w:val="17"/>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C砖木结构：800元/平方米。</w:t>
      </w:r>
    </w:p>
    <w:p>
      <w:pPr>
        <w:pStyle w:val="17"/>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D简易结构（有墙体）：600元/平方米。</w:t>
      </w:r>
    </w:p>
    <w:p>
      <w:pPr>
        <w:pStyle w:val="17"/>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E简易结构（无墙体）</w:t>
      </w:r>
      <w:r>
        <w:rPr>
          <w:rFonts w:ascii="Times New Roman" w:hAnsi="Times New Roman" w:cs="Times New Roman"/>
          <w:color w:val="auto"/>
          <w:kern w:val="2"/>
          <w:sz w:val="32"/>
          <w:szCs w:val="32"/>
        </w:rPr>
        <w:t>：</w:t>
      </w:r>
      <w:r>
        <w:rPr>
          <w:rFonts w:ascii="Times New Roman" w:hAnsi="Times New Roman" w:eastAsia="仿宋_GB2312" w:cs="Times New Roman"/>
          <w:color w:val="auto"/>
          <w:kern w:val="2"/>
          <w:sz w:val="32"/>
          <w:szCs w:val="32"/>
        </w:rPr>
        <w:t>350元/平方米。</w:t>
      </w:r>
    </w:p>
    <w:p>
      <w:pPr>
        <w:keepNext w:val="0"/>
        <w:keepLines w:val="0"/>
        <w:pageBreakBefore w:val="0"/>
        <w:widowControl w:val="0"/>
        <w:kinsoku/>
        <w:wordWrap/>
        <w:overflowPunct/>
        <w:topLinePunct w:val="0"/>
        <w:bidi w:val="0"/>
        <w:snapToGrid/>
        <w:spacing w:line="560" w:lineRule="exact"/>
        <w:ind w:firstLine="640"/>
        <w:textAlignment w:val="auto"/>
        <w:rPr>
          <w:color w:val="auto"/>
        </w:rPr>
      </w:pPr>
      <w:r>
        <w:rPr>
          <w:rFonts w:hint="eastAsia"/>
          <w:color w:val="auto"/>
        </w:rPr>
        <w:t>1．交通设施、拉闸、牌坊、广告牌，按重置全新价予以补偿；交通标志、公交车站等按重置全新价予以补偿或恢复。</w:t>
      </w:r>
    </w:p>
    <w:p>
      <w:pPr>
        <w:keepNext w:val="0"/>
        <w:keepLines w:val="0"/>
        <w:pageBreakBefore w:val="0"/>
        <w:widowControl w:val="0"/>
        <w:kinsoku/>
        <w:wordWrap/>
        <w:overflowPunct/>
        <w:topLinePunct w:val="0"/>
        <w:bidi w:val="0"/>
        <w:snapToGrid/>
        <w:spacing w:line="560" w:lineRule="exact"/>
        <w:ind w:firstLine="560"/>
        <w:textAlignment w:val="auto"/>
        <w:rPr>
          <w:color w:val="auto"/>
          <w:sz w:val="28"/>
          <w:szCs w:val="28"/>
        </w:rPr>
      </w:pPr>
      <w:r>
        <w:rPr>
          <w:rFonts w:hint="eastAsia"/>
          <w:color w:val="auto"/>
          <w:sz w:val="28"/>
          <w:szCs w:val="28"/>
        </w:rPr>
        <w:t>注：无相关行业主管部门批准设立的广告牌及无报建手续的公交站不作补偿。</w:t>
      </w:r>
    </w:p>
    <w:p>
      <w:pPr>
        <w:keepNext w:val="0"/>
        <w:keepLines w:val="0"/>
        <w:pageBreakBefore w:val="0"/>
        <w:widowControl w:val="0"/>
        <w:kinsoku/>
        <w:wordWrap/>
        <w:overflowPunct/>
        <w:topLinePunct w:val="0"/>
        <w:bidi w:val="0"/>
        <w:snapToGrid/>
        <w:spacing w:line="560" w:lineRule="exact"/>
        <w:ind w:firstLine="640"/>
        <w:textAlignment w:val="auto"/>
        <w:rPr>
          <w:color w:val="auto"/>
        </w:rPr>
      </w:pPr>
      <w:r>
        <w:rPr>
          <w:rFonts w:hint="eastAsia"/>
          <w:color w:val="auto"/>
        </w:rPr>
        <w:t>2．其他附属设施补偿详见附件。</w:t>
      </w:r>
    </w:p>
    <w:p>
      <w:pPr>
        <w:keepNext w:val="0"/>
        <w:keepLines w:val="0"/>
        <w:pageBreakBefore w:val="0"/>
        <w:widowControl w:val="0"/>
        <w:kinsoku/>
        <w:wordWrap/>
        <w:overflowPunct/>
        <w:topLinePunct w:val="0"/>
        <w:bidi w:val="0"/>
        <w:snapToGrid/>
        <w:spacing w:line="560" w:lineRule="exact"/>
        <w:ind w:firstLine="640"/>
        <w:textAlignment w:val="auto"/>
        <w:rPr>
          <w:color w:val="auto"/>
        </w:rPr>
      </w:pPr>
      <w:r>
        <w:rPr>
          <w:rFonts w:hint="eastAsia"/>
          <w:color w:val="auto"/>
        </w:rPr>
        <w:t>3．被征收人如对以上标准存在异议的，可申请评估，评估结果经双方确认后作为补偿依据。</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eastAsia="黑体"/>
          <w:color w:val="auto"/>
        </w:rPr>
      </w:pPr>
      <w:r>
        <w:rPr>
          <w:rFonts w:ascii="Times New Roman" w:hAnsi="Times New Roman" w:eastAsia="黑体"/>
          <w:color w:val="auto"/>
        </w:rPr>
        <w:t>七、其他</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（一）征收有产权纠纷的房屋，如纠纷各方在征收期限内未能解决的，由房屋征收部门向公证机构办理被征收房屋的证据保全和征收补偿费提存公证，报请</w:t>
      </w:r>
      <w:r>
        <w:rPr>
          <w:rFonts w:hint="eastAsia"/>
          <w:color w:val="auto"/>
        </w:rPr>
        <w:t>广州市</w:t>
      </w:r>
      <w:r>
        <w:rPr>
          <w:rFonts w:ascii="Times New Roman" w:hAnsi="Times New Roman"/>
          <w:color w:val="auto"/>
        </w:rPr>
        <w:t>白云区人民政府按照本方案作出补偿决定，并在房屋征收范围内予以公告。</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（二）征收已依法抵押的房屋，如抵押人和抵押权人在征收期限内未就房屋补偿费的处分达成协议的，由房屋征收部门向公证机构办理被征收房屋的证据保全和征收补偿费的提存公证，报请</w:t>
      </w:r>
      <w:r>
        <w:rPr>
          <w:rFonts w:hint="eastAsia"/>
          <w:color w:val="auto"/>
        </w:rPr>
        <w:t>广州市</w:t>
      </w:r>
      <w:r>
        <w:rPr>
          <w:rFonts w:ascii="Times New Roman" w:hAnsi="Times New Roman"/>
          <w:color w:val="auto"/>
        </w:rPr>
        <w:t>白云区人民政府按照本方案作出补偿决定，并在房屋征收范围内予以公告。</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（三）</w:t>
      </w:r>
      <w:r>
        <w:rPr>
          <w:rFonts w:hint="eastAsia" w:ascii="Times New Roman" w:hAnsi="Times New Roman"/>
          <w:color w:val="auto"/>
        </w:rPr>
        <w:t>房屋征收部门与被征收人在征收补偿方案确定的签约期限内达不成征收补偿协议的，</w:t>
      </w:r>
      <w:r>
        <w:rPr>
          <w:rFonts w:ascii="Times New Roman" w:hAnsi="Times New Roman"/>
          <w:color w:val="auto"/>
        </w:rPr>
        <w:t>由房屋征收部门向公证机构办理被征收房屋的证据保全和征收补偿费的提存公证，报请</w:t>
      </w:r>
      <w:r>
        <w:rPr>
          <w:rFonts w:hint="eastAsia"/>
          <w:color w:val="auto"/>
        </w:rPr>
        <w:t>广州市</w:t>
      </w:r>
      <w:r>
        <w:rPr>
          <w:rFonts w:ascii="Times New Roman" w:hAnsi="Times New Roman"/>
          <w:color w:val="auto"/>
        </w:rPr>
        <w:t>白云区人民政府按照本方案作出补偿决定，并在房屋征收范围内予以公告。</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四）被征收人或其他相关人员，认为自己的合法权益受到侵害，或对本项目征收及补偿工作有异议或意见的，应当按照法律规定的程序，依法提起申诉、检举、复议、诉讼等，不得有任何阻碍征收工作人员执行公务或其他扰乱公共秩序的行为。</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辱骂、恐吓、殴打、报复征收工作人员或阻碍征收工作人员执行公务的、或有组织煽动群众闹事或阻止施工等扰乱公共秩序行为的，由公安机关依照《中华人民共和国治安管理处罚法》进行处理。构成犯罪的，依法追究刑事责任。</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（五）未包含在上述补偿项目的，按广州市有关文件精神执行。</w:t>
      </w: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eastAsia="黑体"/>
          <w:color w:val="auto"/>
        </w:rPr>
      </w:pPr>
      <w:r>
        <w:rPr>
          <w:rFonts w:ascii="Times New Roman" w:hAnsi="Times New Roman" w:eastAsia="黑体"/>
          <w:color w:val="auto"/>
        </w:rPr>
        <w:t>八、本方案自印发之日起实施</w:t>
      </w:r>
    </w:p>
    <w:p>
      <w:pPr>
        <w:pStyle w:val="1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p>
    <w:p>
      <w:pPr>
        <w:keepNext w:val="0"/>
        <w:keepLines w:val="0"/>
        <w:pageBreakBefore w:val="0"/>
        <w:widowControl w:val="0"/>
        <w:kinsoku/>
        <w:wordWrap/>
        <w:overflowPunct/>
        <w:topLinePunct w:val="0"/>
        <w:bidi w:val="0"/>
        <w:snapToGrid/>
        <w:spacing w:line="560" w:lineRule="exact"/>
        <w:ind w:firstLine="640"/>
        <w:textAlignment w:val="auto"/>
        <w:rPr>
          <w:rFonts w:ascii="Times New Roman" w:hAnsi="Times New Roman"/>
          <w:color w:val="auto"/>
        </w:rPr>
      </w:pPr>
      <w:r>
        <w:rPr>
          <w:rFonts w:ascii="Times New Roman" w:hAnsi="Times New Roman"/>
          <w:color w:val="auto"/>
        </w:rPr>
        <w:t>附件：附属设施补偿标准</w:t>
      </w:r>
    </w:p>
    <w:p>
      <w:pPr>
        <w:ind w:right="-14" w:firstLine="640" w:firstLineChars="0"/>
        <w:rPr>
          <w:rFonts w:ascii="Times New Roman" w:hAnsi="Times New Roman"/>
          <w:color w:val="auto"/>
        </w:rPr>
      </w:pPr>
    </w:p>
    <w:p>
      <w:pPr>
        <w:spacing w:line="240" w:lineRule="auto"/>
        <w:ind w:right="-159" w:firstLine="0" w:firstLineChars="0"/>
        <w:rPr>
          <w:color w:val="auto"/>
        </w:rPr>
      </w:pPr>
      <w:r>
        <w:rPr>
          <w:rFonts w:hint="eastAsia"/>
          <w:color w:val="auto"/>
        </w:rPr>
        <w:br w:type="page"/>
      </w:r>
      <w:r>
        <w:rPr>
          <w:rFonts w:hint="eastAsia" w:ascii="黑体" w:hAnsi="黑体" w:eastAsia="黑体" w:cs="黑体"/>
          <w:color w:val="auto"/>
        </w:rPr>
        <w:t>附件</w:t>
      </w:r>
    </w:p>
    <w:p>
      <w:pPr>
        <w:widowControl/>
        <w:ind w:firstLine="640"/>
        <w:rPr>
          <w:rFonts w:eastAsia="黑体"/>
          <w:color w:val="auto"/>
        </w:rPr>
      </w:pPr>
    </w:p>
    <w:p>
      <w:pPr>
        <w:widowControl/>
        <w:spacing w:line="620" w:lineRule="exact"/>
        <w:ind w:firstLine="0" w:firstLineChars="0"/>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附属设施补偿标准</w:t>
      </w:r>
    </w:p>
    <w:p>
      <w:pPr>
        <w:widowControl/>
        <w:ind w:firstLine="640"/>
        <w:jc w:val="center"/>
        <w:rPr>
          <w:rFonts w:ascii="方正小标宋简体" w:hAnsi="方正小标宋简体" w:eastAsia="方正小标宋简体" w:cs="方正小标宋简体"/>
          <w:bCs/>
          <w:color w:val="auto"/>
        </w:rPr>
      </w:pPr>
    </w:p>
    <w:tbl>
      <w:tblPr>
        <w:tblStyle w:val="7"/>
        <w:tblW w:w="86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15"/>
        <w:gridCol w:w="2471"/>
        <w:gridCol w:w="992"/>
        <w:gridCol w:w="1511"/>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715" w:type="dxa"/>
            <w:tcBorders>
              <w:top w:val="single" w:color="auto" w:sz="8" w:space="0"/>
              <w:left w:val="single" w:color="auto" w:sz="8" w:space="0"/>
              <w:bottom w:val="single" w:color="auto" w:sz="8" w:space="0"/>
              <w:right w:val="single" w:color="auto" w:sz="8" w:space="0"/>
              <w:tl2br w:val="nil"/>
              <w:tr2bl w:val="nil"/>
            </w:tcBorders>
            <w:vAlign w:val="center"/>
          </w:tcPr>
          <w:p>
            <w:pPr>
              <w:widowControl/>
              <w:spacing w:line="280" w:lineRule="exact"/>
              <w:ind w:firstLine="0" w:firstLineChars="0"/>
              <w:jc w:val="center"/>
              <w:rPr>
                <w:rFonts w:ascii="黑体" w:hAnsi="黑体" w:eastAsia="黑体" w:cs="黑体"/>
                <w:color w:val="auto"/>
                <w:sz w:val="28"/>
                <w:szCs w:val="28"/>
              </w:rPr>
            </w:pPr>
            <w:r>
              <w:rPr>
                <w:rFonts w:hint="eastAsia" w:ascii="黑体" w:hAnsi="黑体" w:eastAsia="黑体" w:cs="黑体"/>
                <w:color w:val="auto"/>
                <w:sz w:val="28"/>
                <w:szCs w:val="28"/>
              </w:rPr>
              <w:t>名称</w:t>
            </w:r>
          </w:p>
        </w:tc>
        <w:tc>
          <w:tcPr>
            <w:tcW w:w="2471" w:type="dxa"/>
            <w:tcBorders>
              <w:top w:val="single" w:color="auto" w:sz="8" w:space="0"/>
              <w:left w:val="single" w:color="auto" w:sz="8" w:space="0"/>
              <w:bottom w:val="single" w:color="auto" w:sz="8" w:space="0"/>
              <w:right w:val="single" w:color="auto" w:sz="8" w:space="0"/>
              <w:tl2br w:val="nil"/>
              <w:tr2bl w:val="nil"/>
            </w:tcBorders>
            <w:vAlign w:val="center"/>
          </w:tcPr>
          <w:p>
            <w:pPr>
              <w:widowControl/>
              <w:spacing w:line="280" w:lineRule="exact"/>
              <w:ind w:firstLine="0" w:firstLineChars="0"/>
              <w:jc w:val="center"/>
              <w:rPr>
                <w:rFonts w:ascii="黑体" w:hAnsi="黑体" w:eastAsia="黑体" w:cs="黑体"/>
                <w:color w:val="auto"/>
                <w:sz w:val="28"/>
                <w:szCs w:val="28"/>
              </w:rPr>
            </w:pPr>
            <w:r>
              <w:rPr>
                <w:rFonts w:hint="eastAsia" w:ascii="黑体" w:hAnsi="黑体" w:eastAsia="黑体" w:cs="黑体"/>
                <w:color w:val="auto"/>
                <w:sz w:val="28"/>
                <w:szCs w:val="28"/>
              </w:rPr>
              <w:t>类别</w:t>
            </w:r>
          </w:p>
        </w:tc>
        <w:tc>
          <w:tcPr>
            <w:tcW w:w="992" w:type="dxa"/>
            <w:tcBorders>
              <w:top w:val="single" w:color="auto" w:sz="8" w:space="0"/>
              <w:left w:val="single" w:color="auto" w:sz="8" w:space="0"/>
              <w:bottom w:val="single" w:color="auto" w:sz="8" w:space="0"/>
              <w:right w:val="single" w:color="auto" w:sz="8" w:space="0"/>
              <w:tl2br w:val="nil"/>
              <w:tr2bl w:val="nil"/>
            </w:tcBorders>
            <w:vAlign w:val="center"/>
          </w:tcPr>
          <w:p>
            <w:pPr>
              <w:widowControl/>
              <w:spacing w:line="280" w:lineRule="exact"/>
              <w:ind w:firstLine="0" w:firstLineChars="0"/>
              <w:jc w:val="center"/>
              <w:rPr>
                <w:rFonts w:ascii="黑体" w:hAnsi="黑体" w:eastAsia="黑体" w:cs="黑体"/>
                <w:color w:val="auto"/>
                <w:sz w:val="28"/>
                <w:szCs w:val="28"/>
              </w:rPr>
            </w:pPr>
            <w:r>
              <w:rPr>
                <w:rFonts w:hint="eastAsia" w:ascii="黑体" w:hAnsi="黑体" w:eastAsia="黑体" w:cs="黑体"/>
                <w:color w:val="auto"/>
                <w:sz w:val="28"/>
                <w:szCs w:val="28"/>
              </w:rPr>
              <w:t>单位</w:t>
            </w:r>
          </w:p>
        </w:tc>
        <w:tc>
          <w:tcPr>
            <w:tcW w:w="1511" w:type="dxa"/>
            <w:tcBorders>
              <w:top w:val="single" w:color="auto" w:sz="8" w:space="0"/>
              <w:left w:val="single" w:color="auto" w:sz="8" w:space="0"/>
              <w:bottom w:val="single" w:color="auto" w:sz="8" w:space="0"/>
              <w:right w:val="single" w:color="auto" w:sz="8" w:space="0"/>
              <w:tl2br w:val="nil"/>
              <w:tr2bl w:val="nil"/>
            </w:tcBorders>
            <w:vAlign w:val="center"/>
          </w:tcPr>
          <w:p>
            <w:pPr>
              <w:widowControl/>
              <w:spacing w:line="280" w:lineRule="exact"/>
              <w:ind w:firstLine="0" w:firstLineChars="0"/>
              <w:jc w:val="center"/>
              <w:rPr>
                <w:rFonts w:ascii="黑体" w:hAnsi="黑体" w:eastAsia="黑体" w:cs="黑体"/>
                <w:color w:val="auto"/>
                <w:sz w:val="28"/>
                <w:szCs w:val="28"/>
              </w:rPr>
            </w:pPr>
            <w:r>
              <w:rPr>
                <w:rFonts w:hint="eastAsia" w:ascii="黑体" w:hAnsi="黑体" w:eastAsia="黑体" w:cs="黑体"/>
                <w:color w:val="auto"/>
                <w:sz w:val="28"/>
                <w:szCs w:val="28"/>
              </w:rPr>
              <w:t>单价</w:t>
            </w:r>
          </w:p>
        </w:tc>
        <w:tc>
          <w:tcPr>
            <w:tcW w:w="2000" w:type="dxa"/>
            <w:tcBorders>
              <w:top w:val="single" w:color="auto" w:sz="8" w:space="0"/>
              <w:left w:val="single" w:color="auto" w:sz="8" w:space="0"/>
              <w:bottom w:val="single" w:color="auto" w:sz="8" w:space="0"/>
              <w:right w:val="single" w:color="auto" w:sz="8" w:space="0"/>
              <w:tl2br w:val="nil"/>
              <w:tr2bl w:val="nil"/>
            </w:tcBorders>
            <w:vAlign w:val="center"/>
          </w:tcPr>
          <w:p>
            <w:pPr>
              <w:widowControl/>
              <w:spacing w:line="280" w:lineRule="exact"/>
              <w:ind w:firstLine="0" w:firstLineChars="0"/>
              <w:jc w:val="center"/>
              <w:rPr>
                <w:rFonts w:ascii="黑体" w:hAnsi="黑体" w:eastAsia="黑体" w:cs="黑体"/>
                <w:color w:val="auto"/>
                <w:sz w:val="28"/>
                <w:szCs w:val="28"/>
              </w:rPr>
            </w:pPr>
            <w:r>
              <w:rPr>
                <w:rFonts w:hint="eastAsia" w:ascii="黑体" w:hAnsi="黑体" w:eastAsia="黑体" w:cs="黑体"/>
                <w:color w:val="auto"/>
                <w:sz w:val="28"/>
                <w:szCs w:val="28"/>
              </w:rPr>
              <w:t>注释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715" w:type="dxa"/>
            <w:vMerge w:val="restart"/>
            <w:vAlign w:val="center"/>
          </w:tcPr>
          <w:p>
            <w:pPr>
              <w:spacing w:line="440" w:lineRule="exact"/>
              <w:ind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附属设施（必须提供有效的证明材料）</w:t>
            </w:r>
          </w:p>
        </w:tc>
        <w:tc>
          <w:tcPr>
            <w:tcW w:w="2471" w:type="dxa"/>
            <w:vAlign w:val="center"/>
          </w:tcPr>
          <w:p>
            <w:pPr>
              <w:widowControl/>
              <w:spacing w:line="440" w:lineRule="exact"/>
              <w:ind w:left="64" w:leftChars="20"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电话迁移费</w:t>
            </w:r>
          </w:p>
        </w:tc>
        <w:tc>
          <w:tcPr>
            <w:tcW w:w="992" w:type="dxa"/>
            <w:vAlign w:val="center"/>
          </w:tcPr>
          <w:p>
            <w:pPr>
              <w:widowControl/>
              <w:spacing w:line="44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线</w:t>
            </w:r>
          </w:p>
        </w:tc>
        <w:tc>
          <w:tcPr>
            <w:tcW w:w="1511" w:type="dxa"/>
            <w:vAlign w:val="center"/>
          </w:tcPr>
          <w:p>
            <w:pPr>
              <w:widowControl/>
              <w:spacing w:line="44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200</w:t>
            </w:r>
          </w:p>
        </w:tc>
        <w:tc>
          <w:tcPr>
            <w:tcW w:w="2000" w:type="dxa"/>
            <w:vAlign w:val="center"/>
          </w:tcPr>
          <w:p>
            <w:pPr>
              <w:widowControl/>
              <w:spacing w:line="440" w:lineRule="exact"/>
              <w:ind w:firstLine="0" w:firstLineChars="0"/>
              <w:rPr>
                <w:rFonts w:hint="eastAsia"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715" w:type="dxa"/>
            <w:vMerge w:val="continue"/>
          </w:tcPr>
          <w:p>
            <w:pPr>
              <w:spacing w:line="440" w:lineRule="exact"/>
              <w:ind w:firstLine="0" w:firstLineChars="0"/>
              <w:rPr>
                <w:rFonts w:hint="eastAsia" w:ascii="仿宋_GB2312" w:hAnsi="仿宋_GB2312" w:eastAsia="仿宋_GB2312" w:cs="仿宋_GB2312"/>
                <w:color w:val="auto"/>
                <w:sz w:val="28"/>
                <w:szCs w:val="28"/>
              </w:rPr>
            </w:pPr>
          </w:p>
        </w:tc>
        <w:tc>
          <w:tcPr>
            <w:tcW w:w="2471" w:type="dxa"/>
            <w:vAlign w:val="center"/>
          </w:tcPr>
          <w:p>
            <w:pPr>
              <w:widowControl/>
              <w:spacing w:line="440" w:lineRule="exact"/>
              <w:ind w:left="64" w:leftChars="20"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有线电视迁移费</w:t>
            </w:r>
          </w:p>
        </w:tc>
        <w:tc>
          <w:tcPr>
            <w:tcW w:w="992" w:type="dxa"/>
            <w:vAlign w:val="center"/>
          </w:tcPr>
          <w:p>
            <w:pPr>
              <w:widowControl/>
              <w:spacing w:line="44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线</w:t>
            </w:r>
          </w:p>
        </w:tc>
        <w:tc>
          <w:tcPr>
            <w:tcW w:w="1511" w:type="dxa"/>
            <w:vAlign w:val="center"/>
          </w:tcPr>
          <w:p>
            <w:pPr>
              <w:widowControl/>
              <w:spacing w:line="44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150</w:t>
            </w:r>
          </w:p>
        </w:tc>
        <w:tc>
          <w:tcPr>
            <w:tcW w:w="2000" w:type="dxa"/>
            <w:vAlign w:val="center"/>
          </w:tcPr>
          <w:p>
            <w:pPr>
              <w:widowControl/>
              <w:spacing w:line="440" w:lineRule="exact"/>
              <w:ind w:firstLine="0" w:firstLineChars="0"/>
              <w:rPr>
                <w:rFonts w:hint="eastAsia"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715" w:type="dxa"/>
            <w:vMerge w:val="continue"/>
          </w:tcPr>
          <w:p>
            <w:pPr>
              <w:spacing w:line="440" w:lineRule="exact"/>
              <w:ind w:firstLine="0" w:firstLineChars="0"/>
              <w:rPr>
                <w:rFonts w:hint="eastAsia" w:ascii="仿宋_GB2312" w:hAnsi="仿宋_GB2312" w:eastAsia="仿宋_GB2312" w:cs="仿宋_GB2312"/>
                <w:color w:val="auto"/>
                <w:sz w:val="28"/>
                <w:szCs w:val="28"/>
              </w:rPr>
            </w:pPr>
          </w:p>
        </w:tc>
        <w:tc>
          <w:tcPr>
            <w:tcW w:w="2471" w:type="dxa"/>
            <w:vAlign w:val="center"/>
          </w:tcPr>
          <w:p>
            <w:pPr>
              <w:widowControl/>
              <w:spacing w:line="440" w:lineRule="exact"/>
              <w:ind w:left="64" w:leftChars="20"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宽带网络迁移费</w:t>
            </w:r>
          </w:p>
        </w:tc>
        <w:tc>
          <w:tcPr>
            <w:tcW w:w="992" w:type="dxa"/>
            <w:vAlign w:val="center"/>
          </w:tcPr>
          <w:p>
            <w:pPr>
              <w:widowControl/>
              <w:spacing w:line="44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线</w:t>
            </w:r>
          </w:p>
        </w:tc>
        <w:tc>
          <w:tcPr>
            <w:tcW w:w="1511" w:type="dxa"/>
            <w:vAlign w:val="center"/>
          </w:tcPr>
          <w:p>
            <w:pPr>
              <w:widowControl/>
              <w:spacing w:line="44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200</w:t>
            </w:r>
          </w:p>
        </w:tc>
        <w:tc>
          <w:tcPr>
            <w:tcW w:w="2000" w:type="dxa"/>
            <w:vAlign w:val="center"/>
          </w:tcPr>
          <w:p>
            <w:pPr>
              <w:widowControl/>
              <w:spacing w:line="440" w:lineRule="exact"/>
              <w:ind w:firstLine="0" w:firstLineChars="0"/>
              <w:rPr>
                <w:rFonts w:hint="eastAsia"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715" w:type="dxa"/>
            <w:vMerge w:val="continue"/>
          </w:tcPr>
          <w:p>
            <w:pPr>
              <w:spacing w:line="440" w:lineRule="exact"/>
              <w:ind w:firstLine="0" w:firstLineChars="0"/>
              <w:rPr>
                <w:rFonts w:hint="eastAsia" w:ascii="仿宋_GB2312" w:hAnsi="仿宋_GB2312" w:eastAsia="仿宋_GB2312" w:cs="仿宋_GB2312"/>
                <w:color w:val="auto"/>
                <w:sz w:val="28"/>
                <w:szCs w:val="28"/>
              </w:rPr>
            </w:pPr>
          </w:p>
        </w:tc>
        <w:tc>
          <w:tcPr>
            <w:tcW w:w="2471" w:type="dxa"/>
            <w:vAlign w:val="center"/>
          </w:tcPr>
          <w:p>
            <w:pPr>
              <w:widowControl/>
              <w:spacing w:line="440" w:lineRule="exact"/>
              <w:ind w:left="64" w:leftChars="20"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户外独立水表</w:t>
            </w:r>
          </w:p>
        </w:tc>
        <w:tc>
          <w:tcPr>
            <w:tcW w:w="992" w:type="dxa"/>
            <w:vAlign w:val="center"/>
          </w:tcPr>
          <w:p>
            <w:pPr>
              <w:widowControl/>
              <w:spacing w:line="44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个</w:t>
            </w:r>
          </w:p>
        </w:tc>
        <w:tc>
          <w:tcPr>
            <w:tcW w:w="1511" w:type="dxa"/>
            <w:vAlign w:val="center"/>
          </w:tcPr>
          <w:p>
            <w:pPr>
              <w:widowControl/>
              <w:spacing w:line="44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300</w:t>
            </w:r>
          </w:p>
        </w:tc>
        <w:tc>
          <w:tcPr>
            <w:tcW w:w="2000" w:type="dxa"/>
            <w:vAlign w:val="center"/>
          </w:tcPr>
          <w:p>
            <w:pPr>
              <w:widowControl/>
              <w:spacing w:line="440" w:lineRule="exact"/>
              <w:ind w:firstLine="0" w:firstLineChars="0"/>
              <w:rPr>
                <w:rFonts w:hint="eastAsia"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715" w:type="dxa"/>
            <w:vMerge w:val="continue"/>
          </w:tcPr>
          <w:p>
            <w:pPr>
              <w:spacing w:line="440" w:lineRule="exact"/>
              <w:ind w:firstLine="0" w:firstLineChars="0"/>
              <w:rPr>
                <w:rFonts w:hint="eastAsia" w:ascii="仿宋_GB2312" w:hAnsi="仿宋_GB2312" w:eastAsia="仿宋_GB2312" w:cs="仿宋_GB2312"/>
                <w:color w:val="auto"/>
                <w:sz w:val="28"/>
                <w:szCs w:val="28"/>
              </w:rPr>
            </w:pPr>
          </w:p>
        </w:tc>
        <w:tc>
          <w:tcPr>
            <w:tcW w:w="2471" w:type="dxa"/>
            <w:vAlign w:val="center"/>
          </w:tcPr>
          <w:p>
            <w:pPr>
              <w:widowControl/>
              <w:spacing w:line="440" w:lineRule="exact"/>
              <w:ind w:left="64" w:leftChars="20"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户外独立电表</w:t>
            </w:r>
          </w:p>
        </w:tc>
        <w:tc>
          <w:tcPr>
            <w:tcW w:w="992" w:type="dxa"/>
            <w:vAlign w:val="center"/>
          </w:tcPr>
          <w:p>
            <w:pPr>
              <w:widowControl/>
              <w:spacing w:line="44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个</w:t>
            </w:r>
          </w:p>
        </w:tc>
        <w:tc>
          <w:tcPr>
            <w:tcW w:w="1511" w:type="dxa"/>
            <w:vAlign w:val="center"/>
          </w:tcPr>
          <w:p>
            <w:pPr>
              <w:widowControl/>
              <w:spacing w:line="44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500</w:t>
            </w:r>
          </w:p>
        </w:tc>
        <w:tc>
          <w:tcPr>
            <w:tcW w:w="2000" w:type="dxa"/>
            <w:vAlign w:val="center"/>
          </w:tcPr>
          <w:p>
            <w:pPr>
              <w:widowControl/>
              <w:spacing w:line="440" w:lineRule="exact"/>
              <w:ind w:firstLine="0" w:firstLineChars="0"/>
              <w:rPr>
                <w:rFonts w:hint="eastAsia"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715" w:type="dxa"/>
            <w:vMerge w:val="continue"/>
          </w:tcPr>
          <w:p>
            <w:pPr>
              <w:spacing w:line="440" w:lineRule="exact"/>
              <w:ind w:firstLine="0" w:firstLineChars="0"/>
              <w:rPr>
                <w:rFonts w:hint="eastAsia" w:ascii="仿宋_GB2312" w:hAnsi="仿宋_GB2312" w:eastAsia="仿宋_GB2312" w:cs="仿宋_GB2312"/>
                <w:color w:val="auto"/>
                <w:sz w:val="28"/>
                <w:szCs w:val="28"/>
              </w:rPr>
            </w:pPr>
          </w:p>
        </w:tc>
        <w:tc>
          <w:tcPr>
            <w:tcW w:w="2471" w:type="dxa"/>
            <w:vAlign w:val="center"/>
          </w:tcPr>
          <w:p>
            <w:pPr>
              <w:widowControl/>
              <w:spacing w:line="440" w:lineRule="exact"/>
              <w:ind w:left="64" w:leftChars="20"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管道燃气补偿费</w:t>
            </w:r>
          </w:p>
        </w:tc>
        <w:tc>
          <w:tcPr>
            <w:tcW w:w="992" w:type="dxa"/>
            <w:vAlign w:val="center"/>
          </w:tcPr>
          <w:p>
            <w:pPr>
              <w:widowControl/>
              <w:spacing w:line="44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户</w:t>
            </w:r>
          </w:p>
        </w:tc>
        <w:tc>
          <w:tcPr>
            <w:tcW w:w="1511" w:type="dxa"/>
            <w:vAlign w:val="center"/>
          </w:tcPr>
          <w:p>
            <w:pPr>
              <w:widowControl/>
              <w:spacing w:line="44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3500</w:t>
            </w:r>
          </w:p>
        </w:tc>
        <w:tc>
          <w:tcPr>
            <w:tcW w:w="2000" w:type="dxa"/>
            <w:vAlign w:val="center"/>
          </w:tcPr>
          <w:p>
            <w:pPr>
              <w:widowControl/>
              <w:spacing w:line="440" w:lineRule="exact"/>
              <w:ind w:firstLine="0" w:firstLineChars="0"/>
              <w:rPr>
                <w:rFonts w:hint="eastAsia" w:ascii="仿宋_GB2312" w:hAnsi="仿宋_GB2312" w:eastAsia="仿宋_GB2312" w:cs="仿宋_GB2312"/>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715" w:type="dxa"/>
            <w:vMerge w:val="continue"/>
          </w:tcPr>
          <w:p>
            <w:pPr>
              <w:spacing w:line="440" w:lineRule="exact"/>
              <w:ind w:firstLine="0" w:firstLineChars="0"/>
              <w:rPr>
                <w:rFonts w:hint="eastAsia" w:ascii="仿宋_GB2312" w:hAnsi="仿宋_GB2312" w:eastAsia="仿宋_GB2312" w:cs="仿宋_GB2312"/>
                <w:color w:val="auto"/>
                <w:sz w:val="28"/>
                <w:szCs w:val="28"/>
              </w:rPr>
            </w:pPr>
          </w:p>
        </w:tc>
        <w:tc>
          <w:tcPr>
            <w:tcW w:w="2471" w:type="dxa"/>
            <w:vAlign w:val="center"/>
          </w:tcPr>
          <w:p>
            <w:pPr>
              <w:widowControl/>
              <w:spacing w:line="440" w:lineRule="exact"/>
              <w:ind w:left="64" w:leftChars="20"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空调迁移费</w:t>
            </w:r>
          </w:p>
        </w:tc>
        <w:tc>
          <w:tcPr>
            <w:tcW w:w="992" w:type="dxa"/>
            <w:vAlign w:val="center"/>
          </w:tcPr>
          <w:p>
            <w:pPr>
              <w:widowControl/>
              <w:spacing w:line="44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台</w:t>
            </w:r>
          </w:p>
        </w:tc>
        <w:tc>
          <w:tcPr>
            <w:tcW w:w="1511" w:type="dxa"/>
            <w:vAlign w:val="center"/>
          </w:tcPr>
          <w:p>
            <w:pPr>
              <w:widowControl/>
              <w:spacing w:line="440" w:lineRule="exact"/>
              <w:ind w:firstLine="0" w:firstLine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200</w:t>
            </w:r>
          </w:p>
        </w:tc>
        <w:tc>
          <w:tcPr>
            <w:tcW w:w="2000" w:type="dxa"/>
            <w:vAlign w:val="center"/>
          </w:tcPr>
          <w:p>
            <w:pPr>
              <w:widowControl/>
              <w:spacing w:line="440" w:lineRule="exact"/>
              <w:ind w:firstLine="0" w:firstLineChars="0"/>
              <w:rPr>
                <w:rFonts w:hint="eastAsia" w:ascii="仿宋_GB2312" w:hAnsi="仿宋_GB2312" w:eastAsia="仿宋_GB2312" w:cs="仿宋_GB2312"/>
                <w:color w:val="auto"/>
                <w:sz w:val="28"/>
                <w:szCs w:val="28"/>
              </w:rPr>
            </w:pPr>
          </w:p>
        </w:tc>
      </w:tr>
    </w:tbl>
    <w:p>
      <w:pPr>
        <w:spacing w:line="440" w:lineRule="exact"/>
        <w:ind w:right="-159" w:firstLine="0" w:firstLineChars="0"/>
        <w:rPr>
          <w:rFonts w:ascii="Times New Roman" w:hAnsi="Times New Roman"/>
          <w:color w:val="auto"/>
        </w:rPr>
      </w:pPr>
    </w:p>
    <w:p>
      <w:pPr>
        <w:ind w:firstLine="0" w:firstLineChars="0"/>
        <w:jc w:val="center"/>
        <w:rPr>
          <w:color w:val="auto"/>
        </w:rPr>
      </w:pPr>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1"/>
        <w:szCs w:val="21"/>
      </w:rPr>
    </w:pPr>
    <w:r>
      <w:rPr>
        <w:sz w:val="21"/>
        <w:szCs w:val="21"/>
      </w:rPr>
      <w:t>—</w:t>
    </w:r>
    <w:sdt>
      <w:sdtPr>
        <w:rPr>
          <w:sz w:val="21"/>
          <w:szCs w:val="21"/>
        </w:rPr>
        <w:id w:val="960065922"/>
        <w:docPartObj>
          <w:docPartGallery w:val="autotext"/>
        </w:docPartObj>
      </w:sdtPr>
      <w:sdtEndPr>
        <w:rPr>
          <w:sz w:val="21"/>
          <w:szCs w:val="21"/>
        </w:rPr>
      </w:sdtEndPr>
      <w:sdtContent>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9</w:t>
        </w:r>
        <w:r>
          <w:rPr>
            <w:sz w:val="21"/>
            <w:szCs w:val="21"/>
          </w:rPr>
          <w:fldChar w:fldCharType="end"/>
        </w:r>
        <w:r>
          <w:rPr>
            <w:sz w:val="21"/>
            <w:szCs w:val="21"/>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1"/>
        <w:szCs w:val="21"/>
      </w:rPr>
    </w:pPr>
    <w:r>
      <w:rPr>
        <w:sz w:val="21"/>
        <w:szCs w:val="21"/>
      </w:rPr>
      <w:t>—</w:t>
    </w:r>
    <w:sdt>
      <w:sdtPr>
        <w:rPr>
          <w:sz w:val="21"/>
          <w:szCs w:val="21"/>
        </w:rPr>
        <w:id w:val="960065932"/>
        <w:docPartObj>
          <w:docPartGallery w:val="autotext"/>
        </w:docPartObj>
      </w:sdtPr>
      <w:sdtEndPr>
        <w:rPr>
          <w:sz w:val="21"/>
          <w:szCs w:val="21"/>
        </w:rPr>
      </w:sdtEndPr>
      <w:sdtContent>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8</w:t>
        </w:r>
        <w:r>
          <w:rPr>
            <w:sz w:val="21"/>
            <w:szCs w:val="21"/>
          </w:rPr>
          <w:fldChar w:fldCharType="end"/>
        </w:r>
        <w:r>
          <w:rPr>
            <w:sz w:val="21"/>
            <w:szCs w:val="21"/>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40"/>
    <w:rsid w:val="0000135B"/>
    <w:rsid w:val="00020418"/>
    <w:rsid w:val="000557B5"/>
    <w:rsid w:val="000600FF"/>
    <w:rsid w:val="00065D6A"/>
    <w:rsid w:val="00095813"/>
    <w:rsid w:val="00096E3D"/>
    <w:rsid w:val="000A6763"/>
    <w:rsid w:val="000B2C28"/>
    <w:rsid w:val="00114864"/>
    <w:rsid w:val="00115904"/>
    <w:rsid w:val="001D00BE"/>
    <w:rsid w:val="00271ACC"/>
    <w:rsid w:val="002729B9"/>
    <w:rsid w:val="00280263"/>
    <w:rsid w:val="002B3B63"/>
    <w:rsid w:val="002F28FF"/>
    <w:rsid w:val="003460F1"/>
    <w:rsid w:val="0035387D"/>
    <w:rsid w:val="00365BB1"/>
    <w:rsid w:val="00402F40"/>
    <w:rsid w:val="0043097D"/>
    <w:rsid w:val="00437466"/>
    <w:rsid w:val="00442564"/>
    <w:rsid w:val="00470A66"/>
    <w:rsid w:val="00487265"/>
    <w:rsid w:val="004D5E7E"/>
    <w:rsid w:val="004F5525"/>
    <w:rsid w:val="0050510D"/>
    <w:rsid w:val="00565101"/>
    <w:rsid w:val="00574A3E"/>
    <w:rsid w:val="005E0E90"/>
    <w:rsid w:val="005F79A8"/>
    <w:rsid w:val="00626FB3"/>
    <w:rsid w:val="006436A2"/>
    <w:rsid w:val="00653DAC"/>
    <w:rsid w:val="007C1FD3"/>
    <w:rsid w:val="00824BA9"/>
    <w:rsid w:val="008443A4"/>
    <w:rsid w:val="008F3003"/>
    <w:rsid w:val="00912DAA"/>
    <w:rsid w:val="009234E7"/>
    <w:rsid w:val="00931D1C"/>
    <w:rsid w:val="009D2BDD"/>
    <w:rsid w:val="00AF1707"/>
    <w:rsid w:val="00B75411"/>
    <w:rsid w:val="00B909F1"/>
    <w:rsid w:val="00B91316"/>
    <w:rsid w:val="00BB276A"/>
    <w:rsid w:val="00BF6A0E"/>
    <w:rsid w:val="00C029B9"/>
    <w:rsid w:val="00C3799F"/>
    <w:rsid w:val="00C47935"/>
    <w:rsid w:val="00C739FC"/>
    <w:rsid w:val="00C85C9B"/>
    <w:rsid w:val="00CA25DB"/>
    <w:rsid w:val="00CA5B24"/>
    <w:rsid w:val="00CB3A52"/>
    <w:rsid w:val="00CE60FD"/>
    <w:rsid w:val="00CF2476"/>
    <w:rsid w:val="00D012FD"/>
    <w:rsid w:val="00D91D9E"/>
    <w:rsid w:val="00DC395D"/>
    <w:rsid w:val="00E02EF6"/>
    <w:rsid w:val="00E043D6"/>
    <w:rsid w:val="00F31B3D"/>
    <w:rsid w:val="00F34BA1"/>
    <w:rsid w:val="00F4032B"/>
    <w:rsid w:val="00F57A68"/>
    <w:rsid w:val="00F750FC"/>
    <w:rsid w:val="01F31F7E"/>
    <w:rsid w:val="01FA6AEE"/>
    <w:rsid w:val="04CC54A1"/>
    <w:rsid w:val="0A3B1AD6"/>
    <w:rsid w:val="0B901236"/>
    <w:rsid w:val="0D500503"/>
    <w:rsid w:val="11793B19"/>
    <w:rsid w:val="129C3CA1"/>
    <w:rsid w:val="14546DAE"/>
    <w:rsid w:val="19661D98"/>
    <w:rsid w:val="19BC2EF4"/>
    <w:rsid w:val="1B152850"/>
    <w:rsid w:val="1BCD5FBB"/>
    <w:rsid w:val="1EDB466A"/>
    <w:rsid w:val="21CF2E14"/>
    <w:rsid w:val="29BB6CC7"/>
    <w:rsid w:val="2A782CCD"/>
    <w:rsid w:val="2E890126"/>
    <w:rsid w:val="301C6A1F"/>
    <w:rsid w:val="33123A73"/>
    <w:rsid w:val="338E2559"/>
    <w:rsid w:val="34087E8E"/>
    <w:rsid w:val="36ED045C"/>
    <w:rsid w:val="37C70219"/>
    <w:rsid w:val="3D5D69FE"/>
    <w:rsid w:val="40775FC0"/>
    <w:rsid w:val="434D3A50"/>
    <w:rsid w:val="43C5642F"/>
    <w:rsid w:val="44840E95"/>
    <w:rsid w:val="46435895"/>
    <w:rsid w:val="482D0289"/>
    <w:rsid w:val="4B2F1C82"/>
    <w:rsid w:val="4B926881"/>
    <w:rsid w:val="4E2269AB"/>
    <w:rsid w:val="4E7060DA"/>
    <w:rsid w:val="4EB331D1"/>
    <w:rsid w:val="522F5FB1"/>
    <w:rsid w:val="588B7156"/>
    <w:rsid w:val="5EE45CC8"/>
    <w:rsid w:val="5F686986"/>
    <w:rsid w:val="62B931F1"/>
    <w:rsid w:val="635977CB"/>
    <w:rsid w:val="639A1AB4"/>
    <w:rsid w:val="675B70A6"/>
    <w:rsid w:val="67883BBB"/>
    <w:rsid w:val="68CB1DFB"/>
    <w:rsid w:val="6C831BAE"/>
    <w:rsid w:val="6D6F3188"/>
    <w:rsid w:val="6EA303C4"/>
    <w:rsid w:val="719051FF"/>
    <w:rsid w:val="72615454"/>
    <w:rsid w:val="7397304A"/>
    <w:rsid w:val="74AD7784"/>
    <w:rsid w:val="74EE47B5"/>
    <w:rsid w:val="75444654"/>
    <w:rsid w:val="771B763A"/>
    <w:rsid w:val="78AD419D"/>
    <w:rsid w:val="7CFE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仿宋_GB2312" w:hAnsi="仿宋_GB2312"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240" w:lineRule="auto"/>
    </w:pPr>
    <w:rPr>
      <w:rFonts w:ascii="Calibri" w:hAnsi="Calibri" w:eastAsia="宋体"/>
      <w:szCs w:val="24"/>
    </w:rPr>
  </w:style>
  <w:style w:type="paragraph" w:styleId="3">
    <w:name w:val="Balloon Text"/>
    <w:basedOn w:val="1"/>
    <w:link w:val="12"/>
    <w:semiHidden/>
    <w:unhideWhenUsed/>
    <w:qFormat/>
    <w:uiPriority w:val="99"/>
    <w:pPr>
      <w:spacing w:line="240" w:lineRule="auto"/>
    </w:pPr>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8"/>
    <w:qFormat/>
    <w:uiPriority w:val="0"/>
    <w:pPr>
      <w:snapToGrid w:val="0"/>
      <w:spacing w:line="240" w:lineRule="auto"/>
      <w:ind w:firstLine="0" w:firstLineChars="0"/>
      <w:jc w:val="left"/>
    </w:pPr>
    <w:rPr>
      <w:rFonts w:ascii="Times New Roman" w:hAnsi="Times New Roman"/>
      <w:sz w:val="18"/>
      <w:szCs w:val="24"/>
    </w:rPr>
  </w:style>
  <w:style w:type="character" w:styleId="9">
    <w:name w:val="footnote reference"/>
    <w:basedOn w:val="8"/>
    <w:qFormat/>
    <w:uiPriority w:val="0"/>
    <w:rPr>
      <w:vertAlign w:val="superscript"/>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仿宋_GB2312" w:hAnsi="仿宋_GB2312" w:eastAsia="仿宋_GB2312" w:cs="Times New Roman"/>
      <w:sz w:val="18"/>
      <w:szCs w:val="18"/>
    </w:rPr>
  </w:style>
  <w:style w:type="paragraph" w:customStyle="1" w:styleId="13">
    <w:name w:val="_Style 3"/>
    <w:basedOn w:val="1"/>
    <w:qFormat/>
    <w:uiPriority w:val="0"/>
    <w:pPr>
      <w:spacing w:line="240" w:lineRule="auto"/>
      <w:ind w:firstLine="0" w:firstLineChars="0"/>
    </w:pPr>
    <w:rPr>
      <w:rFonts w:ascii="Calibri" w:hAnsi="Calibri" w:eastAsia="宋体"/>
      <w:szCs w:val="24"/>
    </w:rPr>
  </w:style>
  <w:style w:type="paragraph" w:customStyle="1" w:styleId="14">
    <w:name w:val="正文缩进1"/>
    <w:basedOn w:val="1"/>
    <w:qFormat/>
    <w:uiPriority w:val="0"/>
    <w:pPr>
      <w:spacing w:line="360" w:lineRule="auto"/>
      <w:ind w:firstLine="200"/>
    </w:pPr>
    <w:rPr>
      <w:rFonts w:ascii="Times New Roman" w:hAnsi="Times New Roman" w:eastAsia="宋体"/>
      <w:sz w:val="24"/>
      <w:szCs w:val="22"/>
    </w:rPr>
  </w:style>
  <w:style w:type="paragraph" w:customStyle="1" w:styleId="15">
    <w:name w:val="正文 New New New New New New New New New New New New"/>
    <w:qFormat/>
    <w:uiPriority w:val="0"/>
    <w:pPr>
      <w:widowControl w:val="0"/>
      <w:jc w:val="both"/>
    </w:pPr>
    <w:rPr>
      <w:rFonts w:ascii="Times New Roman" w:hAnsi="Times New Roman" w:eastAsia="仿宋_GB2312" w:cs="Times New Roman"/>
      <w:snapToGrid w:val="0"/>
      <w:kern w:val="0"/>
      <w:sz w:val="32"/>
      <w:szCs w:val="32"/>
      <w:lang w:val="en-US" w:eastAsia="zh-CN" w:bidi="ar-SA"/>
    </w:rPr>
  </w:style>
  <w:style w:type="paragraph" w:customStyle="1" w:styleId="16">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样式"/>
    <w:basedOn w:val="1"/>
    <w:qFormat/>
    <w:uiPriority w:val="0"/>
    <w:pPr>
      <w:autoSpaceDE w:val="0"/>
      <w:autoSpaceDN w:val="0"/>
      <w:adjustRightInd w:val="0"/>
      <w:spacing w:line="240" w:lineRule="auto"/>
      <w:ind w:firstLine="0" w:firstLineChars="0"/>
      <w:jc w:val="left"/>
    </w:pPr>
    <w:rPr>
      <w:rFonts w:ascii="宋体" w:hAnsi="宋体" w:eastAsia="宋体" w:cs="宋体"/>
      <w:kern w:val="0"/>
      <w:sz w:val="24"/>
      <w:szCs w:val="24"/>
    </w:rPr>
  </w:style>
  <w:style w:type="character" w:customStyle="1" w:styleId="18">
    <w:name w:val="脚注文本 Char"/>
    <w:basedOn w:val="8"/>
    <w:link w:val="6"/>
    <w:qFormat/>
    <w:uiPriority w:val="0"/>
    <w:rPr>
      <w:rFonts w:ascii="Times New Roman" w:hAnsi="Times New Roman" w:eastAsia="仿宋_GB2312" w:cs="Times New Roman"/>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71CDD7-7689-4907-84AC-CCCDAE571299}">
  <ds:schemaRefs/>
</ds:datastoreItem>
</file>

<file path=docProps/app.xml><?xml version="1.0" encoding="utf-8"?>
<Properties xmlns="http://schemas.openxmlformats.org/officeDocument/2006/extended-properties" xmlns:vt="http://schemas.openxmlformats.org/officeDocument/2006/docPropsVTypes">
  <Template>Normal</Template>
  <Pages>9</Pages>
  <Words>537</Words>
  <Characters>3067</Characters>
  <Lines>25</Lines>
  <Paragraphs>7</Paragraphs>
  <TotalTime>2</TotalTime>
  <ScaleCrop>false</ScaleCrop>
  <LinksUpToDate>false</LinksUpToDate>
  <CharactersWithSpaces>3597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2021-11-15T07:02:00Z</dcterms:created>
  <dc:creator>陈献才</dc:creator>
  <cp:lastModifiedBy>刘春华</cp:lastModifiedBy>
  <cp:lastPrinted>2022-02-21T12:04:00Z</cp:lastPrinted>
  <dcterms:modified xsi:type="dcterms:W3CDTF">2022-09-23T06:19:14Z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