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广州市白云区城市管理和综合执法局</w:t>
      </w:r>
    </w:p>
    <w:p>
      <w:pPr>
        <w:pStyle w:val="3"/>
        <w:bidi w:val="0"/>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关于报送2021年部门整体</w:t>
      </w:r>
    </w:p>
    <w:p>
      <w:pPr>
        <w:pStyle w:val="3"/>
        <w:bidi w:val="0"/>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支出绩效自评的报告</w:t>
      </w:r>
    </w:p>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color w:val="000000"/>
          <w:sz w:val="32"/>
          <w:highlight w:val="none"/>
          <w:lang w:eastAsia="zh-CN"/>
        </w:rPr>
      </w:pPr>
      <w:bookmarkStart w:id="0" w:name="_Toc17037"/>
      <w:bookmarkStart w:id="1" w:name="_Toc14504"/>
      <w:bookmarkStart w:id="2" w:name="_Toc19696"/>
      <w:bookmarkStart w:id="3" w:name="_Toc14634"/>
      <w:r>
        <w:rPr>
          <w:rFonts w:hint="eastAsia"/>
          <w:color w:val="000000"/>
          <w:sz w:val="32"/>
          <w:highlight w:val="none"/>
          <w:lang w:eastAsia="zh-CN"/>
        </w:rPr>
        <w:t>一、基本情况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lang w:eastAsia="zh-CN"/>
        </w:rPr>
      </w:pPr>
      <w:r>
        <w:rPr>
          <w:rFonts w:hint="eastAsia" w:ascii="楷体_GB2312" w:hAnsi="楷体_GB2312" w:eastAsia="楷体_GB2312" w:cs="楷体_GB2312"/>
          <w:b/>
          <w:bCs/>
          <w:color w:val="000000"/>
          <w:kern w:val="44"/>
          <w:sz w:val="32"/>
          <w:highlight w:val="none"/>
        </w:rPr>
        <w:t>（一）</w:t>
      </w:r>
      <w:r>
        <w:rPr>
          <w:rFonts w:hint="eastAsia" w:ascii="楷体_GB2312" w:hAnsi="楷体_GB2312" w:eastAsia="楷体_GB2312" w:cs="楷体_GB2312"/>
          <w:b/>
          <w:bCs/>
          <w:color w:val="000000"/>
          <w:kern w:val="44"/>
          <w:sz w:val="32"/>
          <w:highlight w:val="none"/>
          <w:lang w:eastAsia="zh-CN"/>
        </w:rPr>
        <w:t>部门概况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1.部门职责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广州市</w:t>
      </w:r>
      <w:r>
        <w:rPr>
          <w:rFonts w:hint="eastAsia" w:ascii="仿宋_GB2312" w:hAnsi="仿宋_GB2312" w:eastAsia="仿宋_GB2312" w:cs="仿宋_GB2312"/>
          <w:bCs/>
          <w:sz w:val="32"/>
          <w:szCs w:val="32"/>
        </w:rPr>
        <w:t>白云区城市管理</w:t>
      </w:r>
      <w:r>
        <w:rPr>
          <w:rFonts w:hint="eastAsia" w:ascii="仿宋_GB2312" w:hAnsi="仿宋_GB2312" w:eastAsia="仿宋_GB2312" w:cs="仿宋_GB2312"/>
          <w:bCs/>
          <w:sz w:val="32"/>
          <w:szCs w:val="32"/>
          <w:lang w:val="en-US" w:eastAsia="zh-CN"/>
        </w:rPr>
        <w:t>和综合执法</w:t>
      </w:r>
      <w:r>
        <w:rPr>
          <w:rFonts w:hint="eastAsia" w:ascii="仿宋_GB2312" w:hAnsi="仿宋_GB2312" w:eastAsia="仿宋_GB2312" w:cs="仿宋_GB2312"/>
          <w:bCs/>
          <w:sz w:val="32"/>
          <w:szCs w:val="32"/>
        </w:rPr>
        <w:t>局（简称区城市管理</w:t>
      </w:r>
      <w:r>
        <w:rPr>
          <w:rFonts w:hint="eastAsia" w:ascii="仿宋_GB2312" w:hAnsi="仿宋_GB2312" w:eastAsia="仿宋_GB2312" w:cs="仿宋_GB2312"/>
          <w:bCs/>
          <w:sz w:val="32"/>
          <w:szCs w:val="32"/>
          <w:lang w:val="en-US" w:eastAsia="zh-CN"/>
        </w:rPr>
        <w:t>综合执法</w:t>
      </w:r>
      <w:r>
        <w:rPr>
          <w:rFonts w:hint="eastAsia" w:ascii="仿宋_GB2312" w:hAnsi="仿宋_GB2312" w:eastAsia="仿宋_GB2312" w:cs="仿宋_GB2312"/>
          <w:bCs/>
          <w:sz w:val="32"/>
          <w:szCs w:val="32"/>
        </w:rPr>
        <w:t>局）</w:t>
      </w:r>
      <w:r>
        <w:rPr>
          <w:rFonts w:hint="eastAsia" w:ascii="仿宋_GB2312" w:hAnsi="仿宋_GB2312" w:eastAsia="仿宋_GB2312" w:cs="仿宋_GB2312"/>
          <w:bCs/>
          <w:sz w:val="32"/>
          <w:szCs w:val="32"/>
          <w:lang w:val="en-US" w:eastAsia="zh-CN"/>
        </w:rPr>
        <w:t>的主要职责是：</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贯彻执行国家和省、市、区有关城市管理及城市管理综合执法、园林绿化养护、维修的方针、政策和法律、法规，拟订相关管理标准和规范，并组织实施和监督检查。</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负责拟订全区城市管理中长期发展规划和年度计划，并组织实施。负责制定本级城市管理维护费年度计划，并组织实施。</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负责全区城市管理和城市管理综合执法工作的组织领导、统筹协调、规划计划、监管考评和应急处置工作。负责城市管理综合执法法律、法规宣传、教育、培训工作。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负责指导全区城市市容景观、环境卫生、公路、园林绿化的养护管理及河涌水域保洁工作。组织、指导和监督全民义务植树工作。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负责组织实施和监督管理生活垃圾减量化、资源化、无害化处理工作。负责建筑垃圾排放、运输、收纳与工地施工噪音的监督管理工作。负责生活垃圾的远途运输工作。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负责临时性户外广告宣传品审批。</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负责燃气行业管理，对燃气供应、燃气设施安全运营和行业服务质量实施监督管理。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负责组织、指导、监督、检查全区城市管理综合执法工作。负责会同街镇处理因城管执法造成的行政复议和诉讼问题，会同街镇对属地执法队的综合行政执法工作进行考评。负责组织开展城市管理专项执法行动。</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负责组织实施城市管理中的有关市容环境卫生、城乡规划、建筑施工管理、环境保护、工商行政管理等方面的行政执法工作。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承担区城市管理委员会工作。负责组织开展全区城市管理综合整治工作，牵头开展城市管理目标责任制考核工作。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承办区委、区政府和上级主管部门交办的其他事项。</w:t>
      </w:r>
    </w:p>
    <w:p>
      <w:pPr>
        <w:pStyle w:val="5"/>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2.部门构成情况</w:t>
      </w:r>
    </w:p>
    <w:p>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广州市白云区城市管理和综合执法局（本级）属政府机关，是隶属于广州市白云区城市管理和综合执法局（汇总）（上级主管单位）的县级单位</w:t>
      </w:r>
      <w:r>
        <w:rPr>
          <w:rFonts w:hint="eastAsia" w:ascii="仿宋_GB2312" w:hAnsi="仿宋_GB2312" w:cs="仿宋_GB2312"/>
          <w:sz w:val="32"/>
          <w:szCs w:val="32"/>
          <w:lang w:eastAsia="zh-CN"/>
        </w:rPr>
        <w:t>。</w:t>
      </w:r>
    </w:p>
    <w:p>
      <w:pPr>
        <w:pStyle w:val="2"/>
        <w:rPr>
          <w:rFonts w:hint="eastAsia" w:ascii="仿宋_GB2312" w:hAnsi="仿宋_GB2312" w:cs="仿宋_GB2312"/>
          <w:sz w:val="32"/>
          <w:szCs w:val="32"/>
          <w:lang w:val="en-US" w:eastAsia="zh-CN"/>
        </w:rPr>
      </w:pPr>
    </w:p>
    <w:p>
      <w:pPr>
        <w:keepNext w:val="0"/>
        <w:keepLines w:val="0"/>
        <w:pageBreakBefore w:val="0"/>
        <w:widowControl w:val="0"/>
        <w:numPr>
          <w:ilvl w:val="0"/>
          <w:numId w:val="1"/>
        </w:numPr>
        <w:kinsoku/>
        <w:wordWrap/>
        <w:overflowPunct/>
        <w:topLinePunct w:val="0"/>
        <w:bidi w:val="0"/>
        <w:adjustRightInd/>
        <w:snapToGrid/>
        <w:spacing w:line="560" w:lineRule="exact"/>
        <w:ind w:firstLine="643" w:firstLineChars="200"/>
        <w:textAlignment w:val="auto"/>
        <w:rPr>
          <w:rFonts w:hint="eastAsia" w:ascii="楷体_GB2312" w:hAnsi="楷体_GB2312" w:eastAsia="楷体_GB2312" w:cs="楷体_GB2312"/>
          <w:b/>
          <w:bCs/>
          <w:color w:val="000000"/>
          <w:kern w:val="44"/>
          <w:sz w:val="32"/>
          <w:highlight w:val="none"/>
          <w:lang w:eastAsia="zh-CN"/>
        </w:rPr>
      </w:pPr>
      <w:r>
        <w:rPr>
          <w:rFonts w:hint="eastAsia" w:ascii="楷体_GB2312" w:hAnsi="楷体_GB2312" w:eastAsia="楷体_GB2312" w:cs="楷体_GB2312"/>
          <w:b/>
          <w:bCs/>
          <w:color w:val="000000"/>
          <w:kern w:val="44"/>
          <w:sz w:val="32"/>
          <w:highlight w:val="none"/>
          <w:lang w:eastAsia="zh-CN"/>
        </w:rPr>
        <w:t>年度总体工作和重点工作任务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仿宋_GB2312" w:hAnsi="仿宋_GB2312" w:eastAsia="仿宋_GB2312" w:cs="仿宋_GB2312"/>
          <w:b w:val="0"/>
          <w:bCs w:val="0"/>
          <w:color w:val="000000"/>
          <w:kern w:val="44"/>
          <w:sz w:val="32"/>
          <w:highlight w:val="none"/>
        </w:rPr>
      </w:pPr>
      <w:r>
        <w:rPr>
          <w:rFonts w:hint="eastAsia" w:ascii="仿宋_GB2312" w:hAnsi="仿宋_GB2312" w:cs="仿宋_GB2312"/>
          <w:b w:val="0"/>
          <w:bCs w:val="0"/>
          <w:color w:val="000000"/>
          <w:kern w:val="44"/>
          <w:sz w:val="32"/>
          <w:highlight w:val="none"/>
          <w:lang w:val="en-US" w:eastAsia="zh-CN"/>
        </w:rPr>
        <w:t>1.</w:t>
      </w:r>
      <w:r>
        <w:rPr>
          <w:rFonts w:hint="eastAsia" w:ascii="仿宋_GB2312" w:hAnsi="仿宋_GB2312" w:eastAsia="仿宋_GB2312" w:cs="仿宋_GB2312"/>
          <w:b w:val="0"/>
          <w:bCs w:val="0"/>
          <w:color w:val="000000"/>
          <w:kern w:val="44"/>
          <w:sz w:val="32"/>
          <w:highlight w:val="none"/>
        </w:rPr>
        <w:t>违建治理稳步推进。严格执行“四个最严“控违措施， 严格落实控违</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四个清零</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工作要求，紧紧围绕白云山红线及缓冲区范围、主</w:t>
      </w:r>
      <w:r>
        <w:rPr>
          <w:rFonts w:hint="eastAsia" w:ascii="仿宋_GB2312" w:hAnsi="仿宋_GB2312" w:cs="仿宋_GB2312"/>
          <w:b w:val="0"/>
          <w:bCs w:val="0"/>
          <w:color w:val="000000"/>
          <w:kern w:val="44"/>
          <w:sz w:val="32"/>
          <w:highlight w:val="none"/>
          <w:lang w:val="en-US" w:eastAsia="zh-CN"/>
        </w:rPr>
        <w:t>干</w:t>
      </w:r>
      <w:r>
        <w:rPr>
          <w:rFonts w:hint="eastAsia" w:ascii="仿宋_GB2312" w:hAnsi="仿宋_GB2312" w:eastAsia="仿宋_GB2312" w:cs="仿宋_GB2312"/>
          <w:b w:val="0"/>
          <w:bCs w:val="0"/>
          <w:color w:val="000000"/>
          <w:kern w:val="44"/>
          <w:sz w:val="32"/>
          <w:highlight w:val="none"/>
        </w:rPr>
        <w:t>道、河涌两岸、重点项目、土地收储、城市更新改造、4个重点村综合整治等开展拆违，坚决遏增减存，持续保持铁腕控违拆违高压态势。目前，全区拆违控违总体形势持续向好，新增违法建设基本杜绝，存量违法建设大量消化拆除，全区控违形势持续向好。截止目前，全区共拆除违法建设11045宗、面积1190</w:t>
      </w:r>
      <w:r>
        <w:rPr>
          <w:rFonts w:hint="eastAsia" w:ascii="仿宋_GB2312" w:hAnsi="仿宋_GB2312" w:cs="仿宋_GB2312"/>
          <w:b w:val="0"/>
          <w:bCs w:val="0"/>
          <w:color w:val="000000"/>
          <w:kern w:val="44"/>
          <w:sz w:val="32"/>
          <w:highlight w:val="none"/>
          <w:lang w:val="en-US" w:eastAsia="zh-CN"/>
        </w:rPr>
        <w:t>.</w:t>
      </w:r>
      <w:r>
        <w:rPr>
          <w:rFonts w:hint="eastAsia" w:ascii="仿宋_GB2312" w:hAnsi="仿宋_GB2312" w:eastAsia="仿宋_GB2312" w:cs="仿宋_GB2312"/>
          <w:b w:val="0"/>
          <w:bCs w:val="0"/>
          <w:color w:val="000000"/>
          <w:kern w:val="44"/>
          <w:sz w:val="32"/>
          <w:highlight w:val="none"/>
        </w:rPr>
        <w:t>16万平方米，完成率103.49%</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其中，拆除河涌管理范围内违法建设849宗、面积79</w:t>
      </w:r>
      <w:r>
        <w:rPr>
          <w:rFonts w:hint="eastAsia" w:ascii="仿宋_GB2312" w:hAnsi="仿宋_GB2312" w:cs="仿宋_GB2312"/>
          <w:b w:val="0"/>
          <w:bCs w:val="0"/>
          <w:color w:val="000000"/>
          <w:kern w:val="44"/>
          <w:sz w:val="32"/>
          <w:highlight w:val="none"/>
          <w:lang w:val="en-US" w:eastAsia="zh-CN"/>
        </w:rPr>
        <w:t>.</w:t>
      </w:r>
      <w:r>
        <w:rPr>
          <w:rFonts w:hint="eastAsia" w:ascii="仿宋_GB2312" w:hAnsi="仿宋_GB2312" w:eastAsia="仿宋_GB2312" w:cs="仿宋_GB2312"/>
          <w:b w:val="0"/>
          <w:bCs w:val="0"/>
          <w:color w:val="000000"/>
          <w:kern w:val="44"/>
          <w:sz w:val="32"/>
          <w:highlight w:val="none"/>
        </w:rPr>
        <w:t>06万平方米，白云山整治范围</w:t>
      </w:r>
      <w:r>
        <w:rPr>
          <w:rFonts w:hint="eastAsia" w:ascii="仿宋_GB2312" w:hAnsi="仿宋_GB2312" w:cs="仿宋_GB2312"/>
          <w:b w:val="0"/>
          <w:bCs w:val="0"/>
          <w:color w:val="000000"/>
          <w:kern w:val="44"/>
          <w:sz w:val="32"/>
          <w:highlight w:val="none"/>
          <w:lang w:val="en-US" w:eastAsia="zh-CN"/>
        </w:rPr>
        <w:t>已</w:t>
      </w:r>
      <w:r>
        <w:rPr>
          <w:rFonts w:hint="eastAsia" w:ascii="仿宋_GB2312" w:hAnsi="仿宋_GB2312" w:eastAsia="仿宋_GB2312" w:cs="仿宋_GB2312"/>
          <w:b w:val="0"/>
          <w:bCs w:val="0"/>
          <w:color w:val="000000"/>
          <w:kern w:val="44"/>
          <w:sz w:val="32"/>
          <w:highlight w:val="none"/>
        </w:rPr>
        <w:t>拆除200</w:t>
      </w:r>
      <w:r>
        <w:rPr>
          <w:rFonts w:hint="eastAsia" w:ascii="仿宋_GB2312" w:hAnsi="仿宋_GB2312" w:cs="仿宋_GB2312"/>
          <w:b w:val="0"/>
          <w:bCs w:val="0"/>
          <w:color w:val="000000"/>
          <w:kern w:val="44"/>
          <w:sz w:val="32"/>
          <w:highlight w:val="none"/>
          <w:lang w:val="en-US" w:eastAsia="zh-CN"/>
        </w:rPr>
        <w:t>宗、</w:t>
      </w:r>
      <w:r>
        <w:rPr>
          <w:rFonts w:hint="eastAsia" w:ascii="仿宋_GB2312" w:hAnsi="仿宋_GB2312" w:eastAsia="仿宋_GB2312" w:cs="仿宋_GB2312"/>
          <w:b w:val="0"/>
          <w:bCs w:val="0"/>
          <w:color w:val="000000"/>
          <w:kern w:val="44"/>
          <w:sz w:val="32"/>
          <w:highlight w:val="none"/>
        </w:rPr>
        <w:t>面积 17.66万平方米</w:t>
      </w:r>
      <w:r>
        <w:rPr>
          <w:rFonts w:hint="eastAsia" w:ascii="仿宋_GB2312" w:hAnsi="仿宋_GB2312" w:cs="仿宋_GB2312"/>
          <w:b w:val="0"/>
          <w:bCs w:val="0"/>
          <w:color w:val="000000"/>
          <w:kern w:val="44"/>
          <w:sz w:val="32"/>
          <w:highlight w:val="none"/>
          <w:lang w:eastAsia="zh-CN"/>
        </w:rPr>
        <w:t>；</w:t>
      </w:r>
      <w:r>
        <w:rPr>
          <w:rFonts w:hint="eastAsia" w:ascii="仿宋_GB2312" w:hAnsi="仿宋_GB2312" w:cs="仿宋_GB2312"/>
          <w:b w:val="0"/>
          <w:bCs w:val="0"/>
          <w:color w:val="000000"/>
          <w:kern w:val="44"/>
          <w:sz w:val="32"/>
          <w:highlight w:val="none"/>
          <w:lang w:val="en-US" w:eastAsia="zh-CN"/>
        </w:rPr>
        <w:t>26</w:t>
      </w:r>
      <w:r>
        <w:rPr>
          <w:rFonts w:hint="eastAsia" w:ascii="仿宋_GB2312" w:hAnsi="仿宋_GB2312" w:eastAsia="仿宋_GB2312" w:cs="仿宋_GB2312"/>
          <w:b w:val="0"/>
          <w:bCs w:val="0"/>
          <w:color w:val="000000"/>
          <w:kern w:val="44"/>
          <w:sz w:val="32"/>
          <w:highlight w:val="none"/>
        </w:rPr>
        <w:t>条主干道两侧</w:t>
      </w:r>
      <w:r>
        <w:rPr>
          <w:rFonts w:hint="eastAsia" w:ascii="仿宋_GB2312" w:hAnsi="仿宋_GB2312" w:cs="仿宋_GB2312"/>
          <w:b w:val="0"/>
          <w:bCs w:val="0"/>
          <w:color w:val="000000"/>
          <w:kern w:val="44"/>
          <w:sz w:val="32"/>
          <w:highlight w:val="none"/>
          <w:lang w:val="en-US" w:eastAsia="zh-CN"/>
        </w:rPr>
        <w:t>已</w:t>
      </w:r>
      <w:r>
        <w:rPr>
          <w:rFonts w:hint="eastAsia" w:ascii="仿宋_GB2312" w:hAnsi="仿宋_GB2312" w:eastAsia="仿宋_GB2312" w:cs="仿宋_GB2312"/>
          <w:b w:val="0"/>
          <w:bCs w:val="0"/>
          <w:color w:val="000000"/>
          <w:kern w:val="44"/>
          <w:sz w:val="32"/>
          <w:highlight w:val="none"/>
        </w:rPr>
        <w:t>拆除750 宗</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面积87.94 万平方米。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仿宋_GB2312" w:hAnsi="仿宋_GB2312" w:eastAsia="仿宋_GB2312" w:cs="仿宋_GB2312"/>
          <w:b w:val="0"/>
          <w:bCs w:val="0"/>
          <w:color w:val="000000"/>
          <w:kern w:val="44"/>
          <w:sz w:val="32"/>
          <w:highlight w:val="none"/>
        </w:rPr>
      </w:pPr>
      <w:r>
        <w:rPr>
          <w:rFonts w:hint="eastAsia" w:ascii="仿宋_GB2312" w:hAnsi="仿宋_GB2312" w:cs="仿宋_GB2312"/>
          <w:b w:val="0"/>
          <w:bCs w:val="0"/>
          <w:color w:val="000000"/>
          <w:kern w:val="44"/>
          <w:sz w:val="32"/>
          <w:highlight w:val="none"/>
          <w:lang w:val="en-US" w:eastAsia="zh-CN"/>
        </w:rPr>
        <w:t>2.</w:t>
      </w:r>
      <w:r>
        <w:rPr>
          <w:rFonts w:hint="eastAsia" w:ascii="仿宋_GB2312" w:hAnsi="仿宋_GB2312" w:eastAsia="仿宋_GB2312" w:cs="仿宋_GB2312"/>
          <w:b w:val="0"/>
          <w:bCs w:val="0"/>
          <w:color w:val="000000"/>
          <w:kern w:val="44"/>
          <w:sz w:val="32"/>
          <w:highlight w:val="none"/>
        </w:rPr>
        <w:t>垃圾分类全面提升。紧紧围绕打造全国垃圾分类示范区目标，坚持“全链条提升、全方位覆盖、全社会参与</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在垃圾分类工作“全</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、“智</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、“美</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、“精</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四个方面下足绣花功夫。今年推动建设集藏桶、洗桶、放公交、工人驿站、两网融合于一体的“一村一环卫驿站</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，目前启用 24 座，进一步完善了“栋长制</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体系配套建设；投入943.6万元资金，统一迭代更新了626个投放点、更换收集容器1.2万个、配齐洗手盆、烘手机等七要素，提升居民分类投放体验；率先试点开发、安装垃圾分类智能监控系统，目前在用 100套，实现人物关联执法取证，自动派单跟进整改智能化，提升精细化管理水平；采取执法＋宣传＋共建的方法，多种手段并用，提高社会共识，推进全社会参与。截至12月，垃圾分类立案处罚7800宗，开展主题宣传活动7000余场次。全区今年前三季度生活垃圾总量较2019年同期减少12.35万吨，厨余分类率保持25%以上，分类减量成效持续保持全市前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仿宋_GB2312" w:hAnsi="仿宋_GB2312" w:eastAsia="仿宋_GB2312" w:cs="仿宋_GB2312"/>
          <w:b w:val="0"/>
          <w:bCs w:val="0"/>
          <w:color w:val="000000"/>
          <w:kern w:val="44"/>
          <w:sz w:val="32"/>
          <w:highlight w:val="none"/>
        </w:rPr>
      </w:pPr>
      <w:r>
        <w:rPr>
          <w:rFonts w:hint="eastAsia" w:ascii="仿宋_GB2312" w:hAnsi="仿宋_GB2312" w:cs="仿宋_GB2312"/>
          <w:b w:val="0"/>
          <w:bCs w:val="0"/>
          <w:color w:val="000000"/>
          <w:kern w:val="44"/>
          <w:sz w:val="32"/>
          <w:highlight w:val="none"/>
          <w:lang w:val="en-US" w:eastAsia="zh-CN"/>
        </w:rPr>
        <w:t>3.</w:t>
      </w:r>
      <w:r>
        <w:rPr>
          <w:rFonts w:hint="eastAsia" w:ascii="仿宋_GB2312" w:hAnsi="仿宋_GB2312" w:eastAsia="仿宋_GB2312" w:cs="仿宋_GB2312"/>
          <w:b w:val="0"/>
          <w:bCs w:val="0"/>
          <w:color w:val="000000"/>
          <w:kern w:val="44"/>
          <w:sz w:val="32"/>
          <w:highlight w:val="none"/>
        </w:rPr>
        <w:t>环境卫生明显改善。一是开展全域环境综合整治。持续开展全域环境再提升第二个百日攻坚和优质优美城市环境大提升行动，集中时间、集中力量、集中资源进一步提升全区环境，运输生活垃圾超149.6万吨，清理水上垃圾约11443.1吨，全区城乡环境面貌明显好转。二是探索城中村“物管化</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管理改革。选取三元里村、唐阁村</w:t>
      </w:r>
      <w:r>
        <w:rPr>
          <w:rFonts w:hint="eastAsia" w:ascii="仿宋_GB2312" w:hAnsi="仿宋_GB2312" w:cs="仿宋_GB2312"/>
          <w:b w:val="0"/>
          <w:bCs w:val="0"/>
          <w:color w:val="000000"/>
          <w:kern w:val="44"/>
          <w:sz w:val="32"/>
          <w:highlight w:val="none"/>
          <w:lang w:val="en-US" w:eastAsia="zh-CN"/>
        </w:rPr>
        <w:t>等</w:t>
      </w:r>
      <w:r>
        <w:rPr>
          <w:rFonts w:hint="eastAsia" w:ascii="仿宋_GB2312" w:hAnsi="仿宋_GB2312" w:eastAsia="仿宋_GB2312" w:cs="仿宋_GB2312"/>
          <w:b w:val="0"/>
          <w:bCs w:val="0"/>
          <w:color w:val="000000"/>
          <w:kern w:val="44"/>
          <w:sz w:val="32"/>
          <w:highlight w:val="none"/>
        </w:rPr>
        <w:t>为试点，参照小区物管化模式，将村内环卫保洁工作交由有资质、有实力的管理公司负责，并借助智慧环卫等信息化手段，规范村内环卫作业管理，发挥群众力量参与村内环境卫生监管，探索建立共建共治共享城中村环境卫生治理新格局。三是深化大检查大评比机制。更新考核方式、变统一排名为分组考评，建立升降级、约谈、奖励等制度机制，破解部分中下游镇街改善市容环境面貌动力不足难题。注重日常检查与专项整治相结合，加强主</w:t>
      </w:r>
      <w:r>
        <w:rPr>
          <w:rFonts w:hint="eastAsia" w:ascii="仿宋_GB2312" w:hAnsi="仿宋_GB2312" w:cs="仿宋_GB2312"/>
          <w:b w:val="0"/>
          <w:bCs w:val="0"/>
          <w:color w:val="000000"/>
          <w:kern w:val="44"/>
          <w:sz w:val="32"/>
          <w:highlight w:val="none"/>
          <w:lang w:val="en-US" w:eastAsia="zh-CN"/>
        </w:rPr>
        <w:t>干</w:t>
      </w:r>
      <w:r>
        <w:rPr>
          <w:rFonts w:hint="eastAsia" w:ascii="仿宋_GB2312" w:hAnsi="仿宋_GB2312" w:eastAsia="仿宋_GB2312" w:cs="仿宋_GB2312"/>
          <w:b w:val="0"/>
          <w:bCs w:val="0"/>
          <w:color w:val="000000"/>
          <w:kern w:val="44"/>
          <w:sz w:val="32"/>
          <w:highlight w:val="none"/>
        </w:rPr>
        <w:t>道、地铁站点、人员密集场所、内街内巷等区域的巡查督办，常态化开展全区域覆盖考评，1-12月巡检发现整改问题14.6万多宗，按期整改率99.2 %。落实日简报、周通报、月排名、分组考评等城市管理长效监管机制，通过固化互比互学互评，推动各镇街学到经验、评出榜样、激发动力、比出于劲。四是巩固环卫基础设施建设。继续推进厕所革命提标升级，完善设施和长效管护，整改农村非标公厕14座，新建、改造提升公厕24座。着力推进垃圾压缩站建设，完成新建及改造13座，控制性详细规划修正、技术审核环卫基础设施130宗，完成历史遗留环卫公共服务设施确权、销账223宗，全面提升环卫设施保障能力。全面开展167个“两网融合</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网点建设，逐步实现“路不见桶，桶要入房、房要美观”的工作目标。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仿宋_GB2312" w:hAnsi="仿宋_GB2312" w:eastAsia="仿宋_GB2312" w:cs="仿宋_GB2312"/>
          <w:b w:val="0"/>
          <w:bCs w:val="0"/>
          <w:color w:val="000000"/>
          <w:kern w:val="44"/>
          <w:sz w:val="32"/>
          <w:highlight w:val="none"/>
        </w:rPr>
      </w:pPr>
      <w:r>
        <w:rPr>
          <w:rFonts w:hint="eastAsia" w:ascii="仿宋_GB2312" w:hAnsi="仿宋_GB2312" w:cs="仿宋_GB2312"/>
          <w:b w:val="0"/>
          <w:bCs w:val="0"/>
          <w:color w:val="000000"/>
          <w:kern w:val="44"/>
          <w:sz w:val="32"/>
          <w:highlight w:val="none"/>
          <w:lang w:val="en-US" w:eastAsia="zh-CN"/>
        </w:rPr>
        <w:t>4.</w:t>
      </w:r>
      <w:r>
        <w:rPr>
          <w:rFonts w:hint="eastAsia" w:ascii="仿宋_GB2312" w:hAnsi="仿宋_GB2312" w:eastAsia="仿宋_GB2312" w:cs="仿宋_GB2312"/>
          <w:b w:val="0"/>
          <w:bCs w:val="0"/>
          <w:color w:val="000000"/>
          <w:kern w:val="44"/>
          <w:sz w:val="32"/>
          <w:highlight w:val="none"/>
        </w:rPr>
        <w:t>市容景观持续向好。一是创建品质化城市管理示范试点。将全区284个社区，分类别实施容貌品质全域提升，努力培育3个市级容貌品质社区、24个区级容貌品质社区，选取云城街、石井街作为我区2021年示范街道创建，引导镇街立标杆、创样板，以点带面推动全区面貌提档升级</w:t>
      </w:r>
      <w:r>
        <w:rPr>
          <w:rFonts w:hint="eastAsia" w:ascii="仿宋_GB2312" w:hAnsi="仿宋_GB2312" w:cs="仿宋_GB2312"/>
          <w:b w:val="0"/>
          <w:bCs w:val="0"/>
          <w:color w:val="000000"/>
          <w:kern w:val="44"/>
          <w:sz w:val="32"/>
          <w:highlight w:val="none"/>
          <w:lang w:eastAsia="zh-CN"/>
        </w:rPr>
        <w:t>；</w:t>
      </w:r>
      <w:r>
        <w:rPr>
          <w:rFonts w:hint="eastAsia" w:ascii="仿宋_GB2312" w:hAnsi="仿宋_GB2312" w:eastAsia="仿宋_GB2312" w:cs="仿宋_GB2312"/>
          <w:b w:val="0"/>
          <w:bCs w:val="0"/>
          <w:color w:val="000000"/>
          <w:kern w:val="44"/>
          <w:sz w:val="32"/>
          <w:highlight w:val="none"/>
        </w:rPr>
        <w:t>二是推进城区景观升级。开展今冬明春绿化造林专项行动，以道路品质化提升、口袋公园建设、绿化节点改造等为重点，形成绿色、生态、活力的高品质景观带。截止目前，全区增绿面积84万平方米，完成105国道绿化景观项目、空港大道等16条道路绿化品质化提升、50个口袋公</w:t>
      </w:r>
      <w:r>
        <w:rPr>
          <w:rFonts w:hint="eastAsia" w:ascii="仿宋_GB2312" w:hAnsi="仿宋_GB2312" w:cs="仿宋_GB2312"/>
          <w:b w:val="0"/>
          <w:bCs w:val="0"/>
          <w:color w:val="000000"/>
          <w:kern w:val="44"/>
          <w:sz w:val="32"/>
          <w:highlight w:val="none"/>
          <w:lang w:val="en-US" w:eastAsia="zh-CN"/>
        </w:rPr>
        <w:t>园</w:t>
      </w:r>
      <w:r>
        <w:rPr>
          <w:rFonts w:hint="eastAsia" w:ascii="仿宋_GB2312" w:hAnsi="仿宋_GB2312" w:eastAsia="仿宋_GB2312" w:cs="仿宋_GB2312"/>
          <w:b w:val="0"/>
          <w:bCs w:val="0"/>
          <w:color w:val="000000"/>
          <w:kern w:val="44"/>
          <w:sz w:val="32"/>
          <w:highlight w:val="none"/>
        </w:rPr>
        <w:t>。三是优化城区城市景观效果，在重要道路及绿化节点布置时花1.5万平方米，在民营科技园、白云湖数字科技城等重点区域布置8 个立体花坛，以七一、国庆节为重要时点进行城市园林景观布置，彰显广州花城特色。落实白云区存量储备土地绿化造林专项行动和拆违后空地绿化美化工作，年内完成约 127万平方米。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rPr>
      </w:pPr>
      <w:r>
        <w:rPr>
          <w:rFonts w:hint="eastAsia" w:ascii="仿宋_GB2312" w:hAnsi="仿宋_GB2312" w:cs="仿宋_GB2312"/>
          <w:b w:val="0"/>
          <w:bCs w:val="0"/>
          <w:color w:val="000000"/>
          <w:kern w:val="44"/>
          <w:sz w:val="32"/>
          <w:highlight w:val="none"/>
          <w:lang w:val="en-US" w:eastAsia="zh-CN"/>
        </w:rPr>
        <w:t>5.</w:t>
      </w:r>
      <w:r>
        <w:rPr>
          <w:rFonts w:hint="eastAsia" w:ascii="仿宋_GB2312" w:hAnsi="仿宋_GB2312" w:eastAsia="仿宋_GB2312" w:cs="仿宋_GB2312"/>
          <w:b w:val="0"/>
          <w:bCs w:val="0"/>
          <w:color w:val="000000"/>
          <w:kern w:val="44"/>
          <w:sz w:val="32"/>
          <w:highlight w:val="none"/>
        </w:rPr>
        <w:t>燃气管理逐步提升。一是强力推进管道燃气发展。科学制定燃气发展三年行动方案，完成新增覆盖居民用户15万户，完成市年度目标任务(12万户）的125%; 新增居民安装用户3.78万户，完成市年度目标任务(3万户）的126%, 完成燃气管道建设307.4公里。二是全面开展燃气安全隐患综合治理。紧盯工厂燃气点供设施、瓶装液化气企业站点、油气管道设施、出租屋等4个方面专项安全隐患排查整治，举行应急演练64场次，开展燃气安全宣传活动45场次，检查燃气经营站点2905站次，排查整改各类安全隐患2546宗， 完成整改2050宗，查处取缔无证燃气经营点136个，暂扣气瓶2446个。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lang w:eastAsia="zh-CN"/>
        </w:rPr>
      </w:pPr>
      <w:r>
        <w:rPr>
          <w:rFonts w:hint="eastAsia" w:ascii="楷体_GB2312" w:hAnsi="楷体_GB2312" w:eastAsia="楷体_GB2312" w:cs="楷体_GB2312"/>
          <w:b/>
          <w:bCs/>
          <w:color w:val="000000"/>
          <w:kern w:val="44"/>
          <w:sz w:val="32"/>
          <w:highlight w:val="none"/>
        </w:rPr>
        <w:t>（三）部门</w:t>
      </w:r>
      <w:r>
        <w:rPr>
          <w:rFonts w:hint="eastAsia" w:ascii="楷体_GB2312" w:hAnsi="楷体_GB2312" w:eastAsia="楷体_GB2312" w:cs="楷体_GB2312"/>
          <w:b/>
          <w:bCs/>
          <w:color w:val="000000"/>
          <w:kern w:val="44"/>
          <w:sz w:val="32"/>
          <w:highlight w:val="none"/>
          <w:lang w:eastAsia="zh-CN"/>
        </w:rPr>
        <w:t>整体收支情况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仿宋_GB2312" w:hAnsi="仿宋_GB2312" w:eastAsia="仿宋_GB2312" w:cs="仿宋_GB2312"/>
          <w:color w:val="000000"/>
          <w:sz w:val="32"/>
          <w:szCs w:val="32"/>
        </w:rPr>
      </w:pPr>
      <w:r>
        <w:rPr>
          <w:rFonts w:hint="eastAsia" w:ascii="仿宋_GB2312" w:hAnsi="宋体" w:cs="宋体"/>
          <w:color w:val="auto"/>
          <w:sz w:val="32"/>
          <w:szCs w:val="32"/>
          <w:lang w:val="en-US" w:eastAsia="zh-CN"/>
        </w:rPr>
        <w:t>2021年，</w:t>
      </w:r>
      <w:r>
        <w:rPr>
          <w:rFonts w:hint="eastAsia" w:ascii="仿宋_GB2312" w:hAnsi="宋体" w:eastAsia="仿宋_GB2312" w:cs="宋体"/>
          <w:color w:val="auto"/>
          <w:sz w:val="32"/>
          <w:szCs w:val="32"/>
          <w:lang w:val="en-US" w:eastAsia="zh-CN"/>
        </w:rPr>
        <w:t>全年</w:t>
      </w:r>
      <w:r>
        <w:rPr>
          <w:rFonts w:hint="eastAsia" w:ascii="仿宋_GB2312" w:hAnsi="仿宋_GB2312" w:eastAsia="仿宋_GB2312" w:cs="仿宋_GB2312"/>
          <w:color w:val="000000"/>
          <w:sz w:val="32"/>
          <w:szCs w:val="32"/>
          <w:lang w:val="en-US" w:eastAsia="zh-CN"/>
        </w:rPr>
        <w:t>预算数</w:t>
      </w:r>
      <w:r>
        <w:rPr>
          <w:rFonts w:hint="eastAsia" w:ascii="仿宋_GB2312" w:hAnsi="仿宋_GB2312" w:cs="仿宋_GB2312"/>
          <w:sz w:val="32"/>
          <w:szCs w:val="32"/>
          <w:lang w:val="en-US" w:eastAsia="zh-CN"/>
        </w:rPr>
        <w:t>32920.81</w:t>
      </w:r>
      <w:r>
        <w:rPr>
          <w:rFonts w:hint="eastAsia" w:ascii="仿宋_GB2312" w:hAnsi="仿宋_GB2312" w:eastAsia="仿宋_GB2312" w:cs="仿宋_GB2312"/>
          <w:color w:val="000000"/>
          <w:sz w:val="32"/>
          <w:szCs w:val="32"/>
          <w:lang w:val="en-US" w:eastAsia="zh-CN"/>
        </w:rPr>
        <w:t>万元，执行数</w:t>
      </w:r>
      <w:r>
        <w:rPr>
          <w:rFonts w:hint="eastAsia" w:ascii="仿宋_GB2312" w:hAnsi="仿宋_GB2312" w:cs="仿宋_GB2312"/>
          <w:sz w:val="32"/>
          <w:szCs w:val="32"/>
          <w:lang w:val="en-US" w:eastAsia="zh-CN"/>
        </w:rPr>
        <w:t>25480.59</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预算完成率</w:t>
      </w:r>
      <w:r>
        <w:rPr>
          <w:rFonts w:hint="eastAsia" w:ascii="仿宋_GB2312" w:hAnsi="仿宋_GB2312" w:cs="仿宋_GB2312"/>
          <w:sz w:val="32"/>
          <w:szCs w:val="32"/>
          <w:lang w:val="en-US" w:eastAsia="zh-CN"/>
        </w:rPr>
        <w:t>77.4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基本支出</w:t>
      </w:r>
      <w:r>
        <w:rPr>
          <w:rFonts w:hint="eastAsia" w:ascii="仿宋_GB2312" w:hAnsi="仿宋_GB2312" w:eastAsia="仿宋_GB2312" w:cs="仿宋_GB2312"/>
          <w:color w:val="000000"/>
          <w:sz w:val="32"/>
          <w:szCs w:val="32"/>
        </w:rPr>
        <w:t>年度预算</w:t>
      </w:r>
      <w:r>
        <w:rPr>
          <w:rFonts w:hint="eastAsia" w:ascii="仿宋_GB2312" w:hAnsi="仿宋_GB2312" w:eastAsia="仿宋_GB2312" w:cs="仿宋_GB2312"/>
          <w:color w:val="000000"/>
          <w:sz w:val="32"/>
          <w:szCs w:val="32"/>
          <w:lang w:val="en-US" w:eastAsia="zh-CN"/>
        </w:rPr>
        <w:t>数</w:t>
      </w:r>
      <w:r>
        <w:rPr>
          <w:rFonts w:hint="eastAsia" w:ascii="仿宋_GB2312" w:hAnsi="仿宋_GB2312" w:cs="仿宋_GB2312"/>
          <w:sz w:val="32"/>
          <w:szCs w:val="32"/>
          <w:lang w:val="en-US" w:eastAsia="zh-CN"/>
        </w:rPr>
        <w:t>5500.68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执行数</w:t>
      </w:r>
      <w:r>
        <w:rPr>
          <w:rFonts w:hint="eastAsia" w:ascii="仿宋_GB2312" w:hAnsi="仿宋_GB2312" w:cs="仿宋_GB2312"/>
          <w:sz w:val="32"/>
          <w:szCs w:val="32"/>
          <w:lang w:val="en-US" w:eastAsia="zh-CN"/>
        </w:rPr>
        <w:t>5341.15</w:t>
      </w:r>
      <w:r>
        <w:rPr>
          <w:rFonts w:hint="eastAsia" w:ascii="仿宋_GB2312" w:hAnsi="仿宋_GB2312" w:eastAsia="仿宋_GB2312" w:cs="仿宋_GB2312"/>
          <w:color w:val="000000"/>
          <w:sz w:val="32"/>
          <w:szCs w:val="32"/>
        </w:rPr>
        <w:t>万元，完成预算的</w:t>
      </w:r>
      <w:r>
        <w:rPr>
          <w:rFonts w:hint="eastAsia" w:ascii="仿宋_GB2312" w:hAnsi="仿宋_GB2312" w:cs="仿宋_GB2312"/>
          <w:sz w:val="32"/>
          <w:szCs w:val="32"/>
          <w:lang w:val="en-US" w:eastAsia="zh-CN"/>
        </w:rPr>
        <w:t>97.1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，主要用于人员支出、公用支出等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项目支出年度预算</w:t>
      </w:r>
      <w:r>
        <w:rPr>
          <w:rFonts w:hint="eastAsia" w:ascii="仿宋_GB2312" w:hAnsi="仿宋_GB2312" w:cs="仿宋_GB2312"/>
          <w:sz w:val="32"/>
          <w:szCs w:val="32"/>
          <w:lang w:val="en-US" w:eastAsia="zh-CN"/>
        </w:rPr>
        <w:t>27419.62</w:t>
      </w:r>
      <w:r>
        <w:rPr>
          <w:rFonts w:hint="eastAsia" w:ascii="仿宋_GB2312" w:hAnsi="仿宋_GB2312" w:eastAsia="仿宋_GB2312" w:cs="仿宋_GB2312"/>
          <w:color w:val="000000"/>
          <w:sz w:val="32"/>
          <w:szCs w:val="32"/>
        </w:rPr>
        <w:t>万元，支出</w:t>
      </w:r>
      <w:r>
        <w:rPr>
          <w:rFonts w:hint="eastAsia" w:ascii="仿宋_GB2312" w:hAnsi="仿宋_GB2312" w:cs="仿宋_GB2312"/>
          <w:sz w:val="32"/>
          <w:szCs w:val="32"/>
          <w:lang w:val="en-US" w:eastAsia="zh-CN"/>
        </w:rPr>
        <w:t>20083.1</w:t>
      </w:r>
      <w:r>
        <w:rPr>
          <w:rFonts w:hint="eastAsia" w:ascii="仿宋_GB2312" w:hAnsi="仿宋_GB2312" w:eastAsia="仿宋_GB2312" w:cs="仿宋_GB2312"/>
          <w:color w:val="000000"/>
          <w:sz w:val="32"/>
          <w:szCs w:val="32"/>
        </w:rPr>
        <w:t>万元，完成预算的</w:t>
      </w:r>
      <w:r>
        <w:rPr>
          <w:rFonts w:hint="eastAsia" w:ascii="仿宋_GB2312" w:hAnsi="仿宋_GB2312" w:cs="仿宋_GB2312"/>
          <w:sz w:val="32"/>
          <w:szCs w:val="32"/>
          <w:lang w:val="en-US" w:eastAsia="zh-CN"/>
        </w:rPr>
        <w:t>73.24</w:t>
      </w:r>
      <w:bookmarkStart w:id="16" w:name="_GoBack"/>
      <w:bookmarkEnd w:id="16"/>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r>
        <w:rPr>
          <w:rFonts w:hint="eastAsia" w:ascii="楷体_GB2312" w:hAnsi="楷体_GB2312" w:eastAsia="楷体_GB2312" w:cs="楷体_GB2312"/>
          <w:b/>
          <w:bCs/>
          <w:color w:val="000000"/>
          <w:sz w:val="32"/>
          <w:szCs w:val="32"/>
          <w:highlight w:val="none"/>
          <w:lang w:val="en-US" w:eastAsia="zh-CN"/>
        </w:rPr>
        <w:t>（四）部门整体绩效管理情况</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1.部门整体绩效目标</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1）提高我区环卫作业车辆配置，更换报废环卫作业设备，开展环卫工具房、环卫驿站整治等工作，提高我区环卫作业机械化率；开展环卫工人健康体检，做好环卫工人新冠肺炎疫情防控，提高环卫管理水平；落实区管道路环卫保洁工作，开展环卫设施建设品质化提升，做好重要会议活动保障，推动我区城市环境卫生提升。</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2）完成全区投放点、城中村、农村生活垃圾分类的全面提升；通过经济手段对垃圾终端处理设施所在区域进行合理补偿，改善和维护设施周边社会环境；完成垃圾远途运输任务，提高运输业务效率，推动分类运输工作深入开展；在生活垃圾分类投放、分类收运、分类处理、再生资源回收利用、政策法规体系建设上取得新突破，督导机制长效运行，宣传改动持续深入，形成社会各界共同关注、共同参与局面。</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3）加强我区城市园林绿化管理养护，完成各种绿化应急抢险任务；开展时花、挂花、花箱、绿化节点（口袋公园）绿化整治等，推进我区景观整治和品质提升工作；创建市级容貌示范社区，完成户外广告和招牌整治提升工程，优化和改善社区环境面貌，营造更干净、更整洁、更平安、更有序的城市环境。</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（4）完成燃气安全隐患整改，调动旧楼居民报装管道燃气的积极性，进一步提升居民群众安全用气意识；规范工厂燃气“点供设施”建设和管理，防范重特大安全事故发生。</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2.部门整体绩效目标完成情况</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1）为各个镇街采购相应数量环卫设备，提高我区环卫保洁机械化作业率和作业面积，有力提升环卫保洁质量；确保环卫队伍稳定，组织环卫工人技能竞赛，提高环卫工人作业水平，保障我区重点道路环境卫生；做好区管道路环卫保洁服务发包、监管工作，督促发包单位环卫保洁作业质量；开展环卫工具房、环卫驿站整治，垃圾压缩站建设、品质化提升，垃圾临时收运点整治等工作，提升我区环境卫生管理水平，增强群众满意度。</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2）生活垃圾分类工作全覆盖，生活垃圾分类工作向农村、城中村深入；继续完善生活垃圾分类全链条提升工作，推动建设集藏桶、洗桶、放公交、工人驿站、两网融合于一体的“一村一环卫驿站”，提升居民分类投放体验，率先试点开发、安装垃圾分类智能监控系统；关于大规模群体事件发生率、村民生活补偿款及体检费用发放率以及服务对象对终端处理设施周边环境不满意率指标均已完成；环卫车队完成白云区生活垃圾输运工作，落实了白云生活垃圾“日产日清”的目标要求。</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3）按计划完成了白云区核心建成区的道路绿化景观维护，完成了各种绿化应急抢险任务；推进城区景观升级，完成105国道景观工程22.3公里慢行道，打造23个重要绿化节点或口袋公园，新增绿化面积约84万平方米，优化城区城市景观效果，在重要道路及绿化节点布置时花1.5万平方米；创建市级容貌示范社区，完成10个桥下空间、市管重要道路（白云区辖内2条道路）及周边区域户外广告和招牌整治提升工程，进一步提高城市管理制度化、标准化、精细化和常态化水平，营造更干净、更整洁、更平安、更有序城市环境。</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4）强力推进管道燃气发展，完成新增覆盖居民用户15万户，完成燃气管道建设307.4公里；全面开展燃气安全隐患综合治理，紧盯工厂燃气点供设施、瓶装液化气企业站点、油气管道设施、出租屋等4个方面专项安全隐患排查治理。</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w:hAnsi="Times New Roman" w:eastAsia="仿宋_GB2312" w:cs="Times New Roman"/>
          <w:color w:val="000000"/>
          <w:sz w:val="32"/>
          <w:szCs w:val="32"/>
          <w:highlight w:val="none"/>
          <w:lang w:val="en-US" w:eastAsia="zh-CN"/>
        </w:rPr>
      </w:pPr>
      <w:bookmarkStart w:id="4" w:name="_Toc6706"/>
      <w:bookmarkStart w:id="5" w:name="_Toc5238"/>
      <w:bookmarkStart w:id="6" w:name="_Toc2560"/>
      <w:bookmarkStart w:id="7" w:name="_Toc13358"/>
      <w:r>
        <w:rPr>
          <w:rFonts w:hint="eastAsia"/>
          <w:color w:val="000000"/>
          <w:sz w:val="32"/>
          <w:highlight w:val="none"/>
          <w:lang w:eastAsia="zh-CN"/>
        </w:rPr>
        <w:t>二</w:t>
      </w:r>
      <w:r>
        <w:rPr>
          <w:rFonts w:hint="eastAsia"/>
          <w:color w:val="000000"/>
          <w:sz w:val="32"/>
          <w:highlight w:val="none"/>
        </w:rPr>
        <w:t>、</w:t>
      </w:r>
      <w:r>
        <w:rPr>
          <w:rFonts w:hint="eastAsia"/>
          <w:color w:val="000000"/>
          <w:sz w:val="32"/>
          <w:highlight w:val="none"/>
          <w:lang w:eastAsia="zh-CN"/>
        </w:rPr>
        <w:t>综合评价分析</w:t>
      </w:r>
      <w:bookmarkEnd w:id="4"/>
      <w:bookmarkEnd w:id="5"/>
      <w:bookmarkEnd w:id="6"/>
      <w:bookmarkEnd w:id="7"/>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eastAsia" w:ascii="楷体_GB2312" w:hAnsi="楷体_GB2312" w:eastAsia="楷体_GB2312" w:cs="楷体_GB2312"/>
          <w:b/>
          <w:color w:val="000000"/>
          <w:kern w:val="44"/>
          <w:sz w:val="32"/>
          <w:highlight w:val="none"/>
          <w:lang w:eastAsia="zh-CN"/>
        </w:rPr>
      </w:pPr>
      <w:bookmarkStart w:id="8" w:name="_Toc7453"/>
      <w:bookmarkStart w:id="9" w:name="_Toc26520"/>
      <w:bookmarkStart w:id="10" w:name="_Toc1487"/>
      <w:bookmarkStart w:id="11" w:name="_Toc8786"/>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一</w:t>
      </w:r>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自评结论综述</w:t>
      </w:r>
      <w:bookmarkEnd w:id="8"/>
      <w:bookmarkEnd w:id="9"/>
      <w:bookmarkEnd w:id="10"/>
      <w:bookmarkEnd w:id="11"/>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jc w:val="both"/>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r>
        <w:rPr>
          <w:rFonts w:hint="eastAsia" w:ascii="Times New Roman" w:hAnsi="Times New Roman" w:eastAsia="仿宋_GB2312" w:cs="Times New Roman"/>
          <w:bCs w:val="0"/>
          <w:color w:val="000000"/>
          <w:kern w:val="2"/>
          <w:sz w:val="32"/>
          <w:szCs w:val="32"/>
          <w:highlight w:val="none"/>
          <w:lang w:val="en-US" w:eastAsia="zh-CN" w:bidi="ar-SA"/>
        </w:rPr>
        <w:t>我单位对2021年度所有项目和整体绩效目标完成情况进行自我评价。共44个项目按照项目总体绩效目标、年度绩效目标和各项绩效指标完成情况以及预算执行情况的基础上，对照设定的绩效目标和指标值进行项目支出绩效自评。从单位整体管理效能和履职效能两个维度，对资金、资产、政府采购、政府购买服务、运行成本管理等情况，以及整体支出绩效目标完成情况进行分析，对照本单位设定的年度整体目标及关键性绩效指标、各项任务的绩效目标和关键指标进行部门整体绩效自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仿宋_GB2312" w:hAnsi="仿宋_GB2312" w:eastAsia="仿宋_GB2312" w:cs="仿宋_GB2312"/>
          <w:b/>
          <w:bCs/>
          <w:color w:val="000000"/>
          <w:kern w:val="44"/>
          <w:sz w:val="32"/>
          <w:highlight w:val="none"/>
        </w:rPr>
      </w:pPr>
      <w:r>
        <w:rPr>
          <w:rFonts w:hint="eastAsia" w:ascii="楷体_GB2312" w:hAnsi="楷体_GB2312" w:eastAsia="楷体_GB2312" w:cs="楷体_GB2312"/>
          <w:b/>
          <w:bCs/>
          <w:color w:val="000000"/>
          <w:kern w:val="44"/>
          <w:sz w:val="32"/>
          <w:highlight w:val="none"/>
        </w:rPr>
        <w:t>各项</w:t>
      </w:r>
      <w:r>
        <w:rPr>
          <w:rFonts w:hint="eastAsia" w:ascii="楷体_GB2312" w:hAnsi="楷体_GB2312" w:eastAsia="楷体_GB2312" w:cs="楷体_GB2312"/>
          <w:b/>
          <w:bCs/>
          <w:color w:val="000000"/>
          <w:kern w:val="44"/>
          <w:sz w:val="32"/>
          <w:highlight w:val="none"/>
          <w:lang w:eastAsia="zh-CN"/>
        </w:rPr>
        <w:t>工作任务</w:t>
      </w:r>
      <w:r>
        <w:rPr>
          <w:rFonts w:hint="eastAsia" w:ascii="楷体_GB2312" w:hAnsi="楷体_GB2312" w:eastAsia="楷体_GB2312" w:cs="楷体_GB2312"/>
          <w:b/>
          <w:bCs/>
          <w:color w:val="000000"/>
          <w:kern w:val="44"/>
          <w:sz w:val="32"/>
          <w:highlight w:val="none"/>
        </w:rPr>
        <w:t>绩效目标完成情况分析</w:t>
      </w:r>
    </w:p>
    <w:p>
      <w:pPr>
        <w:pStyle w:val="2"/>
        <w:jc w:val="center"/>
        <w:rPr>
          <w:rFonts w:hint="eastAsia" w:ascii="Times New Roman" w:hAnsi="Times New Roman" w:eastAsia="仿宋_GB2312" w:cs="Times New Roman"/>
          <w:bCs w:val="0"/>
          <w:color w:val="000000"/>
          <w:kern w:val="2"/>
          <w:sz w:val="32"/>
          <w:szCs w:val="32"/>
          <w:highlight w:val="none"/>
          <w:lang w:val="en-US" w:eastAsia="zh-CN" w:bidi="ar-SA"/>
        </w:rPr>
      </w:pPr>
      <w:r>
        <w:rPr>
          <w:rFonts w:hint="eastAsia" w:ascii="Times New Roman" w:hAnsi="Times New Roman" w:eastAsia="仿宋_GB2312" w:cs="Times New Roman"/>
          <w:bCs w:val="0"/>
          <w:color w:val="000000"/>
          <w:kern w:val="2"/>
          <w:sz w:val="32"/>
          <w:szCs w:val="32"/>
          <w:highlight w:val="none"/>
          <w:lang w:val="en-US" w:eastAsia="zh-CN" w:bidi="ar-SA"/>
        </w:rPr>
        <w:t>各项工作任务绩效目标设定及完成情况见下表：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30"/>
        <w:gridCol w:w="2643"/>
        <w:gridCol w:w="1967"/>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jc w:val="center"/>
        </w:trPr>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Cs w:val="0"/>
                <w:color w:val="000000"/>
                <w:kern w:val="2"/>
                <w:sz w:val="28"/>
                <w:szCs w:val="28"/>
                <w:highlight w:val="none"/>
                <w:vertAlign w:val="baseline"/>
                <w:lang w:val="en-US" w:eastAsia="zh-CN" w:bidi="ar-SA"/>
              </w:rPr>
              <w:t>年度主要工作任务</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vertAlign w:val="baseline"/>
                <w:lang w:val="en-US" w:eastAsia="zh-CN" w:bidi="ar-SA"/>
              </w:rPr>
            </w:pPr>
            <w:r>
              <w:rPr>
                <w:rFonts w:hint="eastAsia" w:ascii="仿宋_GB2312" w:hAnsi="仿宋_GB2312" w:eastAsia="仿宋_GB2312" w:cs="仿宋_GB2312"/>
                <w:bCs w:val="0"/>
                <w:color w:val="000000"/>
                <w:kern w:val="2"/>
                <w:sz w:val="28"/>
                <w:szCs w:val="28"/>
                <w:highlight w:val="none"/>
                <w:vertAlign w:val="baseline"/>
                <w:lang w:val="en-US" w:eastAsia="zh-CN" w:bidi="ar-SA"/>
              </w:rPr>
              <w:t>关键性指标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vertAlign w:val="baseline"/>
                <w:lang w:val="en-US" w:eastAsia="zh-CN" w:bidi="ar-SA"/>
              </w:rPr>
            </w:pPr>
            <w:r>
              <w:rPr>
                <w:rFonts w:hint="eastAsia" w:ascii="仿宋_GB2312" w:hAnsi="仿宋_GB2312" w:eastAsia="仿宋_GB2312" w:cs="仿宋_GB2312"/>
                <w:bCs w:val="0"/>
                <w:color w:val="000000"/>
                <w:kern w:val="2"/>
                <w:sz w:val="28"/>
                <w:szCs w:val="28"/>
                <w:highlight w:val="none"/>
                <w:vertAlign w:val="baseline"/>
                <w:lang w:val="en-US" w:eastAsia="zh-CN" w:bidi="ar-SA"/>
              </w:rPr>
              <w:t>年度指标值</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vertAlign w:val="baseline"/>
                <w:lang w:val="en-US" w:eastAsia="zh-CN" w:bidi="ar-SA"/>
              </w:rPr>
            </w:pPr>
            <w:r>
              <w:rPr>
                <w:rFonts w:hint="eastAsia" w:ascii="仿宋_GB2312" w:hAnsi="仿宋_GB2312" w:eastAsia="仿宋_GB2312" w:cs="仿宋_GB2312"/>
                <w:bCs w:val="0"/>
                <w:color w:val="000000"/>
                <w:kern w:val="2"/>
                <w:sz w:val="28"/>
                <w:szCs w:val="28"/>
                <w:highlight w:val="none"/>
                <w:vertAlign w:val="baseline"/>
                <w:lang w:val="en-US" w:eastAsia="zh-CN" w:bidi="ar-SA"/>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落实环卫保洁工作</w:t>
            </w:r>
          </w:p>
        </w:tc>
        <w:tc>
          <w:tcPr>
            <w:tcW w:w="2643"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vertAlign w:val="baseline"/>
                <w:lang w:val="en-US" w:eastAsia="zh-CN" w:bidi="ar-SA"/>
              </w:rPr>
            </w:pPr>
            <w:r>
              <w:rPr>
                <w:rFonts w:hint="eastAsia" w:ascii="仿宋_GB2312" w:hAnsi="仿宋_GB2312" w:eastAsia="仿宋_GB2312" w:cs="仿宋_GB2312"/>
                <w:bCs w:val="0"/>
                <w:color w:val="000000"/>
                <w:kern w:val="2"/>
                <w:sz w:val="28"/>
                <w:szCs w:val="28"/>
                <w:highlight w:val="none"/>
                <w:vertAlign w:val="baseline"/>
                <w:lang w:val="en-US" w:eastAsia="zh-CN" w:bidi="ar-SA"/>
              </w:rPr>
              <w:t>道路环卫保洁发包数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vertAlign w:val="baseline"/>
                <w:lang w:val="en-US" w:eastAsia="zh-CN" w:bidi="ar-SA"/>
              </w:rPr>
            </w:pPr>
            <w:r>
              <w:rPr>
                <w:rFonts w:hint="eastAsia" w:ascii="仿宋_GB2312" w:hAnsi="仿宋_GB2312" w:eastAsia="仿宋_GB2312" w:cs="仿宋_GB2312"/>
                <w:bCs w:val="0"/>
                <w:color w:val="000000"/>
                <w:kern w:val="2"/>
                <w:sz w:val="28"/>
                <w:szCs w:val="28"/>
                <w:highlight w:val="none"/>
                <w:vertAlign w:val="baseline"/>
                <w:lang w:val="en-US" w:eastAsia="zh-CN" w:bidi="ar-SA"/>
              </w:rPr>
              <w:t xml:space="preserve"> 33条</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vertAlign w:val="baseline"/>
                <w:lang w:val="en-US" w:eastAsia="zh-CN" w:bidi="ar-SA"/>
              </w:rPr>
            </w:pPr>
            <w:r>
              <w:rPr>
                <w:rFonts w:hint="eastAsia" w:ascii="仿宋_GB2312" w:hAnsi="仿宋_GB2312" w:eastAsia="仿宋_GB2312" w:cs="仿宋_GB2312"/>
                <w:bCs w:val="0"/>
                <w:color w:val="000000"/>
                <w:kern w:val="2"/>
                <w:sz w:val="28"/>
                <w:szCs w:val="28"/>
                <w:highlight w:val="none"/>
                <w:vertAlign w:val="baseline"/>
                <w:lang w:val="en-US" w:eastAsia="zh-CN" w:bidi="ar-SA"/>
              </w:rPr>
              <w:t xml:space="preserve"> 33条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1"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vertAlign w:val="baseline"/>
                <w:lang w:val="en-US" w:eastAsia="zh-CN" w:bidi="ar-SA"/>
              </w:rPr>
            </w:pPr>
            <w:r>
              <w:rPr>
                <w:rFonts w:hint="eastAsia" w:ascii="仿宋_GB2312" w:hAnsi="仿宋_GB2312" w:eastAsia="仿宋_GB2312" w:cs="仿宋_GB2312"/>
                <w:bCs w:val="0"/>
                <w:color w:val="000000"/>
                <w:kern w:val="2"/>
                <w:sz w:val="28"/>
                <w:szCs w:val="28"/>
                <w:highlight w:val="none"/>
                <w:vertAlign w:val="baseline"/>
                <w:lang w:val="en-US" w:eastAsia="zh-CN" w:bidi="ar-SA"/>
              </w:rPr>
              <w:t>环卫保洁服务发包道路保洁人员配备数量</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vertAlign w:val="baseline"/>
                <w:lang w:val="en-US" w:eastAsia="zh-CN" w:bidi="ar-SA"/>
              </w:rPr>
            </w:pPr>
            <w:r>
              <w:rPr>
                <w:rFonts w:hint="eastAsia" w:ascii="仿宋_GB2312" w:hAnsi="仿宋_GB2312" w:eastAsia="仿宋_GB2312" w:cs="仿宋_GB2312"/>
                <w:bCs w:val="0"/>
                <w:color w:val="000000"/>
                <w:kern w:val="2"/>
                <w:sz w:val="28"/>
                <w:szCs w:val="28"/>
                <w:highlight w:val="none"/>
                <w:vertAlign w:val="baseline"/>
                <w:lang w:val="en-US" w:eastAsia="zh-CN" w:bidi="ar-SA"/>
              </w:rPr>
              <w:t>≥119人</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vertAlign w:val="baseline"/>
                <w:lang w:val="en-US" w:eastAsia="zh-CN" w:bidi="ar-SA"/>
              </w:rPr>
            </w:pPr>
            <w:r>
              <w:rPr>
                <w:rFonts w:hint="eastAsia" w:ascii="仿宋_GB2312" w:hAnsi="仿宋_GB2312" w:eastAsia="仿宋_GB2312" w:cs="仿宋_GB2312"/>
                <w:bCs w:val="0"/>
                <w:color w:val="000000"/>
                <w:kern w:val="2"/>
                <w:sz w:val="28"/>
                <w:szCs w:val="28"/>
                <w:highlight w:val="none"/>
                <w:vertAlign w:val="baseline"/>
                <w:lang w:val="en-US" w:eastAsia="zh-CN" w:bidi="ar-SA"/>
              </w:rPr>
              <w:t>182人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94"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lang w:val="en-US" w:eastAsia="zh-CN" w:bidi="ar-SA"/>
              </w:rPr>
            </w:pPr>
            <w:r>
              <w:rPr>
                <w:rFonts w:hint="eastAsia" w:ascii="仿宋_GB2312" w:hAnsi="仿宋_GB2312" w:eastAsia="仿宋_GB2312" w:cs="仿宋_GB2312"/>
                <w:bCs w:val="0"/>
                <w:color w:val="000000"/>
                <w:kern w:val="2"/>
                <w:sz w:val="28"/>
                <w:szCs w:val="28"/>
                <w:highlight w:val="none"/>
                <w:lang w:val="en-US" w:eastAsia="zh-CN" w:bidi="ar-SA"/>
              </w:rPr>
              <w:t>环卫保洁服务发包道路日常保洁作业时间</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lang w:val="en-US" w:eastAsia="zh-CN" w:bidi="ar-SA"/>
              </w:rPr>
            </w:pPr>
            <w:r>
              <w:rPr>
                <w:rFonts w:hint="eastAsia" w:ascii="仿宋_GB2312" w:hAnsi="仿宋_GB2312" w:eastAsia="仿宋_GB2312" w:cs="仿宋_GB2312"/>
                <w:bCs w:val="0"/>
                <w:color w:val="000000"/>
                <w:kern w:val="2"/>
                <w:sz w:val="28"/>
                <w:szCs w:val="28"/>
                <w:highlight w:val="none"/>
                <w:lang w:val="en-US" w:eastAsia="zh-CN" w:bidi="ar-SA"/>
              </w:rPr>
              <w:t>16小时</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Cs w:val="0"/>
                <w:color w:val="000000"/>
                <w:kern w:val="2"/>
                <w:sz w:val="28"/>
                <w:szCs w:val="28"/>
                <w:highlight w:val="none"/>
                <w:lang w:val="en-US" w:eastAsia="zh-CN" w:bidi="ar-SA"/>
              </w:rPr>
            </w:pPr>
            <w:r>
              <w:rPr>
                <w:rFonts w:hint="eastAsia" w:ascii="仿宋_GB2312" w:hAnsi="仿宋_GB2312" w:eastAsia="仿宋_GB2312" w:cs="仿宋_GB2312"/>
                <w:bCs w:val="0"/>
                <w:color w:val="000000"/>
                <w:kern w:val="2"/>
                <w:sz w:val="28"/>
                <w:szCs w:val="28"/>
                <w:highlight w:val="none"/>
                <w:lang w:val="en-US" w:eastAsia="zh-CN" w:bidi="ar-SA"/>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72"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区管道路发包路段涉及环境卫生问题案件投诉数量</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3"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涉及环卫保洁经费补助分配的镇街数量</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24个</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4"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对重点道路、区域洒水降尘作业频次</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每天不少于3次，重点路段不少于4次</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每天3次，重点路段4次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3"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建设“两网融合网点”数量</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不少于10个</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7"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市民在新闻媒体投诉的环卫保洁问题宗数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≤3宗</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2"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开展环卫工具房、环卫驿站建设、改造等数量</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40座</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124座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2"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补助镇街、区保洁所等环卫保洁作业单位</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23</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4"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交货验收货物数量</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148件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76"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环卫作业车辆通过验收率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2"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购置环卫车辆投诉数量</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0"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完成交货验收时间</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2021年内</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jc w:val="center"/>
        </w:trPr>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垃圾分类全面提升</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生活垃圾回收利用率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≧38%</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4"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居民垃圾分类知晓率指标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≧95%</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8"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完成上级下达工作指标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6"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大规模群体性事件发生数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≤2宗</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村民生产生活补偿款及常规体检费用按时发放率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生态补偿满意率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&gt;80%</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8"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生活垃圾分类全面提升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49个城中村656000户</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49个城中村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5"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垃圾投放点整治提升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690个</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690个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3"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垃圾分类投放点全面提升示范村</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21条</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2"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市民投诉处理率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≧95%</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8" w:hRule="atLeast"/>
          <w:jc w:val="center"/>
        </w:trPr>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提升城市园林绿化和城市品质</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创建市级容貌示范社区</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创建3个市级容貌示范社区</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创建社区居民群众满意率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80%以上</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开展城市管理综合考评次数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12次</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完成10个桥下空间及周边地区户外广告和招牌整治提升工程</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10个</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按期开工率（%）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80%</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6"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日常巡查覆盖率（%）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1" w:hRule="atLeast"/>
          <w:jc w:val="center"/>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概算执行率</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80%</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val="en-US" w:eastAsia="zh-CN"/>
        </w:rPr>
        <w:t>三</w:t>
      </w:r>
      <w:r>
        <w:rPr>
          <w:rFonts w:hint="eastAsia" w:ascii="楷体_GB2312" w:hAnsi="楷体_GB2312" w:eastAsia="楷体_GB2312" w:cs="楷体_GB2312"/>
          <w:b/>
          <w:bCs/>
          <w:color w:val="000000"/>
          <w:kern w:val="44"/>
          <w:sz w:val="32"/>
          <w:highlight w:val="none"/>
        </w:rPr>
        <w:t>）各</w:t>
      </w:r>
      <w:r>
        <w:rPr>
          <w:rFonts w:hint="eastAsia" w:ascii="楷体_GB2312" w:hAnsi="楷体_GB2312" w:eastAsia="楷体_GB2312" w:cs="楷体_GB2312"/>
          <w:b/>
          <w:bCs/>
          <w:color w:val="000000"/>
          <w:kern w:val="44"/>
          <w:sz w:val="32"/>
          <w:highlight w:val="none"/>
          <w:lang w:eastAsia="zh-CN"/>
        </w:rPr>
        <w:t>重点任务</w:t>
      </w:r>
      <w:r>
        <w:rPr>
          <w:rFonts w:hint="eastAsia" w:ascii="楷体_GB2312" w:hAnsi="楷体_GB2312" w:eastAsia="楷体_GB2312" w:cs="楷体_GB2312"/>
          <w:b/>
          <w:bCs/>
          <w:color w:val="000000"/>
          <w:kern w:val="44"/>
          <w:sz w:val="32"/>
          <w:highlight w:val="none"/>
        </w:rPr>
        <w:t>项目支出完成情况分析</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1.105国道、106国道、113工程绿化项目预算13,032.94万元，支出13,032.94万元，主要用于开展105国道绿化整治工作，内容包括包括沿线景观绿化提升、重要节点景观改造、小游园建设、护栏和天桥挂花、挡土墙美化、垂直绿墙设置、园林设施布置等，达到105 国道沿线（永泰商务中心至太和掉头位段）绿化景观美化面积525601平米的绩效目标。</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2.环卫保洁经费项目预算1,344.05万元，支出1,344.05万元。主要用于2021年白云新城、空港大道等区管道路发包费用，落实重大会议活动的移动公厕租赁，租赁抑尘车保障重点区域道路扬尘控制，印制环卫收费发票等。达到落实区管道路环卫保洁工作，提高环卫管理水平，做好重要会议活动保障，推动我区城市环境卫生提升的绩效目标。</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3.垃圾分类项目预算452.73万元，支出452.73万元。主要用于聘请生活垃圾分类考核公司对我区各镇街、机团单位开展日常检查和生活垃圾分类绩效考核工作；聘请社会公司承担我区大件废弃家具回收和分类处理工作；辖内生活垃圾分类硬件设施的优化升级；日常宣传、2020年信息化项目尾款的结算和日常工作开展。达到按时完成市下达工作任务，25条生活垃圾分类样板村顺利通过市验收；完成生活垃圾回收利用率≥38%的任务目标。根据《广州市城市管理和综合执法局关于 2021年第四季度生活垃圾分类处理工作考核情况的报告》通报，白云区生活垃圾回收利用率为52.19%；完成居民生活垃圾分类知晓率≧98%的任务目标。根据《广州市城市管理和综合执法局关于 2021年第四季度生活垃圾分类处理工作考核情况的报告》通报，白云区居民生活垃圾分类知晓率为100%的绩效目标。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bookmarkStart w:id="12" w:name="_Toc26210"/>
      <w:bookmarkStart w:id="13" w:name="_Toc10735"/>
      <w:bookmarkStart w:id="14" w:name="_Toc21266"/>
      <w:bookmarkStart w:id="15" w:name="_Toc696"/>
      <w:r>
        <w:rPr>
          <w:rFonts w:hint="eastAsia" w:ascii="黑体" w:hAnsi="黑体" w:eastAsia="黑体" w:cs="Times New Roman"/>
          <w:bCs/>
          <w:color w:val="000000"/>
          <w:kern w:val="44"/>
          <w:sz w:val="32"/>
          <w:szCs w:val="44"/>
          <w:highlight w:val="none"/>
          <w:lang w:val="en-US" w:eastAsia="zh-CN" w:bidi="ar-SA"/>
        </w:rPr>
        <w:t>三、存在的主要问题</w:t>
      </w:r>
      <w:bookmarkEnd w:id="12"/>
      <w:bookmarkEnd w:id="13"/>
      <w:bookmarkEnd w:id="14"/>
      <w:bookmarkEnd w:id="15"/>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lang w:val="en-US" w:eastAsia="zh-CN"/>
        </w:rPr>
        <w:t>预算实际执行与预算</w:t>
      </w:r>
      <w:r>
        <w:rPr>
          <w:rFonts w:hint="eastAsia" w:ascii="仿宋_GB2312" w:hAnsi="仿宋_GB2312" w:cs="仿宋_GB2312"/>
          <w:sz w:val="32"/>
          <w:szCs w:val="32"/>
          <w:lang w:val="en-US" w:eastAsia="zh-CN"/>
        </w:rPr>
        <w:t>编制</w:t>
      </w:r>
      <w:r>
        <w:rPr>
          <w:rFonts w:hint="eastAsia" w:ascii="仿宋_GB2312" w:hAnsi="仿宋_GB2312" w:eastAsia="仿宋_GB2312" w:cs="仿宋_GB2312"/>
          <w:sz w:val="32"/>
          <w:szCs w:val="32"/>
          <w:lang w:val="en-US" w:eastAsia="zh-CN"/>
        </w:rPr>
        <w:t>存在偏差。</w:t>
      </w: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预算编制测算不够精准；二是</w:t>
      </w:r>
      <w:r>
        <w:rPr>
          <w:rFonts w:hint="default" w:ascii="仿宋_GB2312" w:hAnsi="仿宋_GB2312" w:eastAsia="仿宋_GB2312" w:cs="仿宋_GB2312"/>
          <w:sz w:val="32"/>
          <w:szCs w:val="32"/>
          <w:lang w:val="en-US" w:eastAsia="zh-CN"/>
        </w:rPr>
        <w:t>项目进度较慢，未能按时完成支出</w:t>
      </w:r>
      <w:r>
        <w:rPr>
          <w:rFonts w:hint="eastAsia" w:ascii="仿宋_GB2312" w:hAnsi="仿宋_GB2312" w:eastAsia="仿宋_GB2312" w:cs="仿宋_GB2312"/>
          <w:sz w:val="32"/>
          <w:szCs w:val="32"/>
          <w:lang w:val="en-US" w:eastAsia="zh-CN"/>
        </w:rPr>
        <w:t>，绩效目标未能及时按进度完成</w:t>
      </w:r>
      <w:r>
        <w:rPr>
          <w:rFonts w:hint="eastAsia" w:ascii="仿宋_GB2312" w:hAnsi="仿宋_GB2312" w:cs="仿宋_GB2312"/>
          <w:sz w:val="32"/>
          <w:szCs w:val="32"/>
          <w:lang w:val="en-US" w:eastAsia="zh-CN"/>
        </w:rPr>
        <w:t>。</w:t>
      </w:r>
    </w:p>
    <w:p>
      <w:pPr>
        <w:numPr>
          <w:ilvl w:val="0"/>
          <w:numId w:val="3"/>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人员素质有待进一步提高。执行单位人员对预算绩效管理认识不深、理解不充分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绩效目标设置稍欠合理，未能体现项目的产出和效益。</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highlight w:val="none"/>
          <w:lang w:eastAsia="zh-CN"/>
        </w:rPr>
      </w:pPr>
      <w:r>
        <w:rPr>
          <w:rFonts w:hint="eastAsia" w:ascii="黑体" w:hAnsi="黑体" w:eastAsia="黑体" w:cs="黑体"/>
          <w:color w:val="000000"/>
          <w:sz w:val="32"/>
          <w:highlight w:val="none"/>
          <w:lang w:eastAsia="zh-CN"/>
        </w:rPr>
        <w:t>下一步</w:t>
      </w:r>
      <w:r>
        <w:rPr>
          <w:rFonts w:hint="eastAsia" w:ascii="黑体" w:hAnsi="黑体" w:eastAsia="黑体" w:cs="黑体"/>
          <w:color w:val="000000"/>
          <w:sz w:val="32"/>
          <w:highlight w:val="none"/>
        </w:rPr>
        <w:t>改进</w:t>
      </w:r>
      <w:r>
        <w:rPr>
          <w:rFonts w:hint="eastAsia" w:ascii="黑体" w:hAnsi="黑体" w:eastAsia="黑体" w:cs="黑体"/>
          <w:color w:val="000000"/>
          <w:sz w:val="32"/>
          <w:highlight w:val="none"/>
          <w:lang w:eastAsia="zh-CN"/>
        </w:rPr>
        <w:t>措施</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加强前期调研，</w:t>
      </w:r>
      <w:r>
        <w:rPr>
          <w:rFonts w:hint="eastAsia"/>
          <w:lang w:val="en-US" w:eastAsia="zh-CN"/>
        </w:rPr>
        <w:t>预算编制前多与有关各方做好沟通衔接，</w:t>
      </w:r>
      <w:r>
        <w:rPr>
          <w:rFonts w:hint="eastAsia" w:ascii="仿宋_GB2312" w:hAnsi="仿宋_GB2312" w:eastAsia="仿宋_GB2312" w:cs="仿宋_GB2312"/>
          <w:sz w:val="32"/>
          <w:szCs w:val="32"/>
          <w:lang w:val="en-US" w:eastAsia="zh-CN"/>
        </w:rPr>
        <w:t>合理测算所需财政资金，</w:t>
      </w:r>
      <w:r>
        <w:rPr>
          <w:rFonts w:hint="eastAsia"/>
          <w:lang w:val="en-US" w:eastAsia="zh-CN"/>
        </w:rPr>
        <w:t>提高预算编制的科学性、合理性、准确性和可控性</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jc w:val="both"/>
        <w:textAlignment w:val="auto"/>
        <w:rPr>
          <w:rFonts w:hint="eastAsia"/>
          <w:lang w:eastAsia="zh-CN"/>
        </w:rPr>
      </w:pPr>
      <w:r>
        <w:rPr>
          <w:rFonts w:hint="eastAsia" w:ascii="仿宋_GB2312" w:hAnsi="仿宋_GB2312" w:eastAsia="仿宋_GB2312" w:cs="仿宋_GB2312"/>
          <w:sz w:val="32"/>
          <w:szCs w:val="32"/>
          <w:lang w:val="en-US" w:eastAsia="zh-CN"/>
        </w:rPr>
        <w:t>严格执行预算绩效管理，及时对预算执行情况进行通报和预警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发挥资金的使用效益，提高预算完成率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及时跟进项目督促，加强对项目绩效进度的跟踪。</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）提高思想认识，</w:t>
      </w:r>
      <w:r>
        <w:rPr>
          <w:rFonts w:hint="default" w:ascii="仿宋_GB2312" w:hAnsi="仿宋_GB2312" w:eastAsia="仿宋_GB2312" w:cs="仿宋_GB2312"/>
          <w:sz w:val="32"/>
          <w:szCs w:val="32"/>
          <w:lang w:val="en-US" w:eastAsia="zh-CN"/>
        </w:rPr>
        <w:t>加强绩效管理工作的学习，注重绩效目标和绩效指标填写的规范性和合理性。</w:t>
      </w:r>
      <w:r>
        <w:rPr>
          <w:rFonts w:hint="eastAsia" w:ascii="仿宋_GB2312" w:hAnsi="仿宋_GB2312" w:eastAsia="仿宋_GB2312" w:cs="仿宋_GB2312"/>
          <w:sz w:val="32"/>
          <w:szCs w:val="32"/>
          <w:lang w:val="en-US" w:eastAsia="zh-CN"/>
        </w:rPr>
        <w:t>细化</w:t>
      </w:r>
      <w:r>
        <w:rPr>
          <w:rFonts w:hint="default" w:ascii="仿宋_GB2312" w:hAnsi="仿宋_GB2312" w:eastAsia="仿宋_GB2312" w:cs="仿宋_GB2312"/>
          <w:sz w:val="32"/>
          <w:szCs w:val="32"/>
          <w:lang w:val="en-US" w:eastAsia="zh-CN"/>
        </w:rPr>
        <w:t>绩效指标，从数量、成本、时效和服务质量等方面，设置具体的、可衡量的绩效指标并且尽量设置定量指标。完善评价细则</w:t>
      </w:r>
      <w:r>
        <w:rPr>
          <w:rFonts w:hint="eastAsia" w:ascii="仿宋_GB2312" w:hAnsi="仿宋_GB2312" w:eastAsia="仿宋_GB2312" w:cs="仿宋_GB2312"/>
          <w:sz w:val="32"/>
          <w:szCs w:val="32"/>
          <w:lang w:val="en-US" w:eastAsia="zh-CN"/>
        </w:rPr>
        <w:t>，设置合理的评价指标、明确指标的评分细则，便于项目更清晰、更直观、更高效地进行绩效评价。</w:t>
      </w:r>
    </w:p>
    <w:p>
      <w:pPr>
        <w:rPr>
          <w:rFonts w:hint="eastAsia"/>
          <w:highlight w:val="none"/>
          <w:lang w:val="en-US" w:eastAsia="zh-CN"/>
        </w:rPr>
      </w:pPr>
    </w:p>
    <w:p>
      <w:pPr>
        <w:pStyle w:val="2"/>
        <w:jc w:val="cente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41B1B"/>
    <w:multiLevelType w:val="singleLevel"/>
    <w:tmpl w:val="A2841B1B"/>
    <w:lvl w:ilvl="0" w:tentative="0">
      <w:start w:val="2"/>
      <w:numFmt w:val="chineseCounting"/>
      <w:suff w:val="nothing"/>
      <w:lvlText w:val="（%1）"/>
      <w:lvlJc w:val="left"/>
      <w:rPr>
        <w:rFonts w:hint="eastAsia"/>
      </w:rPr>
    </w:lvl>
  </w:abstractNum>
  <w:abstractNum w:abstractNumId="1">
    <w:nsid w:val="D21DB27B"/>
    <w:multiLevelType w:val="singleLevel"/>
    <w:tmpl w:val="D21DB27B"/>
    <w:lvl w:ilvl="0" w:tentative="0">
      <w:start w:val="2"/>
      <w:numFmt w:val="chineseCounting"/>
      <w:suff w:val="nothing"/>
      <w:lvlText w:val="（%1）"/>
      <w:lvlJc w:val="left"/>
      <w:rPr>
        <w:rFonts w:hint="eastAsia"/>
      </w:rPr>
    </w:lvl>
  </w:abstractNum>
  <w:abstractNum w:abstractNumId="2">
    <w:nsid w:val="E1243666"/>
    <w:multiLevelType w:val="singleLevel"/>
    <w:tmpl w:val="E1243666"/>
    <w:lvl w:ilvl="0" w:tentative="0">
      <w:start w:val="4"/>
      <w:numFmt w:val="chineseCounting"/>
      <w:suff w:val="nothing"/>
      <w:lvlText w:val="%1、"/>
      <w:lvlJc w:val="left"/>
      <w:rPr>
        <w:rFonts w:hint="eastAsia"/>
      </w:rPr>
    </w:lvl>
  </w:abstractNum>
  <w:abstractNum w:abstractNumId="3">
    <w:nsid w:val="2E2CFAC0"/>
    <w:multiLevelType w:val="singleLevel"/>
    <w:tmpl w:val="2E2CFAC0"/>
    <w:lvl w:ilvl="0" w:tentative="0">
      <w:start w:val="1"/>
      <w:numFmt w:val="chineseCounting"/>
      <w:suff w:val="nothing"/>
      <w:lvlText w:val="（%1）"/>
      <w:lvlJc w:val="left"/>
      <w:rPr>
        <w:rFonts w:hint="eastAsia"/>
      </w:rPr>
    </w:lvl>
  </w:abstractNum>
  <w:abstractNum w:abstractNumId="4">
    <w:nsid w:val="3B202864"/>
    <w:multiLevelType w:val="singleLevel"/>
    <w:tmpl w:val="3B202864"/>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4.160.8/newoa/missive/kinggridOfficeServer.do?method=officeProcess"/>
  </w:docVars>
  <w:rsids>
    <w:rsidRoot w:val="2B984800"/>
    <w:rsid w:val="09670556"/>
    <w:rsid w:val="09945694"/>
    <w:rsid w:val="0D171B07"/>
    <w:rsid w:val="15455599"/>
    <w:rsid w:val="1B68500C"/>
    <w:rsid w:val="1D923A6C"/>
    <w:rsid w:val="1F7221E4"/>
    <w:rsid w:val="1FE114A0"/>
    <w:rsid w:val="25691307"/>
    <w:rsid w:val="286D1121"/>
    <w:rsid w:val="28EC6AAF"/>
    <w:rsid w:val="29F62E96"/>
    <w:rsid w:val="2B984800"/>
    <w:rsid w:val="2BE9033C"/>
    <w:rsid w:val="2D855A28"/>
    <w:rsid w:val="2E510CFA"/>
    <w:rsid w:val="32823770"/>
    <w:rsid w:val="32AA191B"/>
    <w:rsid w:val="342D6215"/>
    <w:rsid w:val="38125513"/>
    <w:rsid w:val="3CA34D16"/>
    <w:rsid w:val="3D743B2F"/>
    <w:rsid w:val="3DDC759B"/>
    <w:rsid w:val="3F6E7A6B"/>
    <w:rsid w:val="47EB043F"/>
    <w:rsid w:val="4A9E62DC"/>
    <w:rsid w:val="4BBE6DBA"/>
    <w:rsid w:val="4ED178D1"/>
    <w:rsid w:val="50D94735"/>
    <w:rsid w:val="53D11C20"/>
    <w:rsid w:val="54570548"/>
    <w:rsid w:val="563260F0"/>
    <w:rsid w:val="5B3F6802"/>
    <w:rsid w:val="5B420748"/>
    <w:rsid w:val="5C346840"/>
    <w:rsid w:val="5D99622A"/>
    <w:rsid w:val="5FA364FA"/>
    <w:rsid w:val="608E2323"/>
    <w:rsid w:val="61752C19"/>
    <w:rsid w:val="62954CF9"/>
    <w:rsid w:val="690579AC"/>
    <w:rsid w:val="70021418"/>
    <w:rsid w:val="719D48F5"/>
    <w:rsid w:val="73717AF9"/>
    <w:rsid w:val="7971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ind w:left="0"/>
      <w:outlineLvl w:val="0"/>
    </w:pPr>
    <w:rPr>
      <w:rFonts w:ascii="Times New Roman" w:hAnsi="Times New Roman" w:eastAsia="黑体" w:cs="Microsoft JhengHei"/>
      <w:bCs/>
      <w:szCs w:val="32"/>
      <w:lang w:val="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2022-02-14T07:50:00Z</dcterms:created>
  <dc:creator>凌海涛</dc:creator>
  <cp:lastModifiedBy>hp</cp:lastModifiedBy>
  <cp:lastPrinted>2022-06-28T08:15:00Z</cp:lastPrinted>
  <dcterms:modified xsi:type="dcterms:W3CDTF">2023-05-24T02:20:10Z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5F7FEB5239CB4CAD92114877A69F767B</vt:lpwstr>
  </property>
</Properties>
</file>