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 w:after="200"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2"/>
        <w:spacing w:before="200" w:after="200" w:line="360" w:lineRule="auto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评分标准</w:t>
      </w:r>
    </w:p>
    <w:p>
      <w:pPr>
        <w:widowControl w:val="0"/>
        <w:numPr>
          <w:ilvl w:val="0"/>
          <w:numId w:val="1"/>
        </w:numPr>
        <w:jc w:val="both"/>
        <w:rPr>
          <w:rFonts w:ascii="仿宋_GB2312" w:hAnsi="宋体" w:eastAsia="仿宋_GB2312"/>
          <w:sz w:val="24"/>
          <w:szCs w:val="24"/>
        </w:rPr>
      </w:pPr>
      <w:bookmarkStart w:id="0" w:name="_Toc50276166"/>
      <w:bookmarkStart w:id="1" w:name="_Toc98580294"/>
      <w:bookmarkStart w:id="2" w:name="_Toc42394518"/>
      <w:bookmarkStart w:id="3" w:name="_Toc50276205"/>
      <w:bookmarkStart w:id="4" w:name="_Toc98579012"/>
      <w:bookmarkStart w:id="5" w:name="_Toc98035090"/>
      <w:bookmarkStart w:id="6" w:name="_Toc46308688"/>
      <w:bookmarkStart w:id="7" w:name="_Toc41884701"/>
      <w:bookmarkStart w:id="8" w:name="_Toc42313173"/>
      <w:bookmarkStart w:id="9" w:name="_Toc42394674"/>
      <w:bookmarkStart w:id="10" w:name="_Toc46308532"/>
      <w:bookmarkStart w:id="11" w:name="_Toc41723931"/>
      <w:bookmarkStart w:id="12" w:name="_Toc42313167"/>
      <w:bookmarkStart w:id="13" w:name="_Toc41884707"/>
      <w:bookmarkStart w:id="14" w:name="_Toc98579611"/>
      <w:bookmarkStart w:id="15" w:name="_Toc41723937"/>
      <w:bookmarkStart w:id="16" w:name="_Toc98579070"/>
      <w:r>
        <w:rPr>
          <w:rFonts w:hint="eastAsia" w:ascii="仿宋_GB2312" w:hAnsi="宋体" w:eastAsia="仿宋_GB2312"/>
          <w:b/>
          <w:sz w:val="24"/>
        </w:rPr>
        <w:t>综合评分权重</w:t>
      </w:r>
    </w:p>
    <w:tbl>
      <w:tblPr>
        <w:tblStyle w:val="4"/>
        <w:tblW w:w="6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02"/>
        <w:gridCol w:w="1701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vAlign w:val="top"/>
          </w:tcPr>
          <w:p>
            <w:pPr>
              <w:widowControl w:val="0"/>
              <w:spacing w:line="360" w:lineRule="auto"/>
              <w:ind w:left="1681" w:hanging="1687" w:hangingChars="700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2"/>
                <w:sz w:val="24"/>
                <w:szCs w:val="24"/>
              </w:rPr>
              <w:t>评分项目</w:t>
            </w:r>
          </w:p>
        </w:tc>
        <w:tc>
          <w:tcPr>
            <w:tcW w:w="1502" w:type="dxa"/>
            <w:vAlign w:val="top"/>
          </w:tcPr>
          <w:p>
            <w:pPr>
              <w:widowControl w:val="0"/>
              <w:spacing w:line="360" w:lineRule="auto"/>
              <w:ind w:left="1681" w:hanging="1687" w:hangingChars="700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服务</w:t>
            </w:r>
            <w:r>
              <w:rPr>
                <w:rFonts w:hint="eastAsia" w:ascii="仿宋_GB2312" w:hAnsi="宋体" w:eastAsia="仿宋_GB2312"/>
                <w:b/>
                <w:bCs/>
                <w:kern w:val="2"/>
                <w:sz w:val="24"/>
                <w:szCs w:val="24"/>
              </w:rPr>
              <w:t>评分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spacing w:line="360" w:lineRule="auto"/>
              <w:ind w:left="1681" w:hanging="1687" w:hangingChars="700"/>
              <w:jc w:val="center"/>
              <w:rPr>
                <w:rFonts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2"/>
                <w:sz w:val="24"/>
                <w:szCs w:val="24"/>
              </w:rPr>
              <w:t>商务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评分</w:t>
            </w:r>
          </w:p>
        </w:tc>
        <w:tc>
          <w:tcPr>
            <w:tcW w:w="2287" w:type="dxa"/>
            <w:vAlign w:val="top"/>
          </w:tcPr>
          <w:p>
            <w:pPr>
              <w:widowControl w:val="0"/>
              <w:spacing w:line="360" w:lineRule="auto"/>
              <w:ind w:left="1681" w:hanging="1687" w:hangingChars="700"/>
              <w:jc w:val="center"/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综合诚信评价得分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vAlign w:val="top"/>
          </w:tcPr>
          <w:p>
            <w:pPr>
              <w:widowControl w:val="0"/>
              <w:spacing w:line="360" w:lineRule="auto"/>
              <w:ind w:left="1686" w:leftChars="120" w:hanging="1434" w:hangingChars="595"/>
              <w:jc w:val="center"/>
              <w:rPr>
                <w:rFonts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分值</w:t>
            </w:r>
          </w:p>
        </w:tc>
        <w:tc>
          <w:tcPr>
            <w:tcW w:w="1502" w:type="dxa"/>
            <w:vAlign w:val="top"/>
          </w:tcPr>
          <w:p>
            <w:pPr>
              <w:widowControl w:val="0"/>
              <w:spacing w:line="360" w:lineRule="auto"/>
              <w:ind w:left="1678" w:leftChars="144" w:hanging="1376" w:hangingChars="571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top"/>
          </w:tcPr>
          <w:p>
            <w:pPr>
              <w:widowControl w:val="0"/>
              <w:spacing w:line="360" w:lineRule="auto"/>
              <w:ind w:left="1678" w:leftChars="144" w:hanging="1376" w:hangingChars="571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</w:t>
            </w:r>
          </w:p>
        </w:tc>
        <w:tc>
          <w:tcPr>
            <w:tcW w:w="2287" w:type="dxa"/>
            <w:vAlign w:val="top"/>
          </w:tcPr>
          <w:p>
            <w:pPr>
              <w:widowControl w:val="0"/>
              <w:spacing w:line="360" w:lineRule="auto"/>
              <w:ind w:left="1681" w:hanging="1687" w:hangingChars="700"/>
              <w:jc w:val="center"/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</w:t>
            </w:r>
          </w:p>
        </w:tc>
      </w:tr>
    </w:tbl>
    <w:p>
      <w:pPr>
        <w:tabs>
          <w:tab w:val="left" w:pos="0"/>
          <w:tab w:val="left" w:pos="720"/>
          <w:tab w:val="left" w:pos="1080"/>
        </w:tabs>
        <w:spacing w:line="360" w:lineRule="auto"/>
        <w:ind w:left="420"/>
        <w:jc w:val="both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widowControl w:val="0"/>
        <w:numPr>
          <w:ilvl w:val="0"/>
          <w:numId w:val="1"/>
        </w:numPr>
        <w:jc w:val="both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服务评分表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20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分值（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62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评审内容</w:t>
            </w:r>
          </w:p>
        </w:tc>
        <w:tc>
          <w:tcPr>
            <w:tcW w:w="54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对采购人需求的响应程度（投标服务方案）</w:t>
            </w:r>
          </w:p>
        </w:tc>
        <w:tc>
          <w:tcPr>
            <w:tcW w:w="5437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总体服务模式科学合理，亮点多，针对性强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得12分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总体服务模式有一定特点，亮点少，针对性不强，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总体服务模式无特点，无针对性，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得6分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总体服务模式不合理，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服务工作目标及管理方案</w:t>
            </w:r>
          </w:p>
        </w:tc>
        <w:tc>
          <w:tcPr>
            <w:tcW w:w="543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方案合理，内容详细，熟悉采购人内部管理要求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方案合理、内容详细，了解采购人需求，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得8分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方案比较合理，内容较详细，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得5分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方案不合理，不能满足采购人实际需求，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机构设立、运作流程、管理计划</w:t>
            </w:r>
          </w:p>
        </w:tc>
        <w:tc>
          <w:tcPr>
            <w:tcW w:w="543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得9分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得7分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得4分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</w:t>
            </w:r>
            <w:r>
              <w:rPr>
                <w:rFonts w:ascii="仿宋_GB2312" w:hAnsi="宋体" w:eastAsia="仿宋_GB2312"/>
                <w:sz w:val="24"/>
                <w:szCs w:val="24"/>
              </w:rPr>
              <w:t>人员培训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/>
                <w:sz w:val="24"/>
                <w:szCs w:val="24"/>
              </w:rPr>
              <w:t>管理</w:t>
            </w:r>
          </w:p>
        </w:tc>
        <w:tc>
          <w:tcPr>
            <w:tcW w:w="543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优：工作人员培训及管理合理可行，对比最优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得8分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得5分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0" w:type="dxa"/>
            <w:vAlign w:val="center"/>
          </w:tcPr>
          <w:p>
            <w:pPr>
              <w:ind w:left="-359" w:leftChars="-171" w:firstLine="360" w:firstLineChars="150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质量保证体系及措施</w:t>
            </w:r>
          </w:p>
        </w:tc>
        <w:tc>
          <w:tcPr>
            <w:tcW w:w="543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优：体系完整，配套措施完善，对比最优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得13分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得6分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0" w:type="dxa"/>
            <w:vAlign w:val="center"/>
          </w:tcPr>
          <w:p>
            <w:pPr>
              <w:ind w:left="-359" w:leftChars="-171" w:firstLine="360" w:firstLineChars="150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项目主管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的资质和经验</w:t>
            </w:r>
          </w:p>
        </w:tc>
        <w:tc>
          <w:tcPr>
            <w:tcW w:w="543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上岗证、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健康证、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学历、职称、相关工作经验等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得8分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得6分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得4分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</w:tbl>
    <w:p>
      <w:pPr>
        <w:tabs>
          <w:tab w:val="left" w:pos="0"/>
          <w:tab w:val="left" w:pos="720"/>
          <w:tab w:val="left" w:pos="1080"/>
        </w:tabs>
        <w:spacing w:line="360" w:lineRule="auto"/>
        <w:ind w:left="420"/>
        <w:jc w:val="both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</w:t>
      </w:r>
    </w:p>
    <w:p>
      <w:pPr>
        <w:widowControl w:val="0"/>
        <w:numPr>
          <w:ilvl w:val="0"/>
          <w:numId w:val="1"/>
        </w:numPr>
        <w:jc w:val="both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商务评分表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397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分值（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33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评审内容</w:t>
            </w:r>
          </w:p>
        </w:tc>
        <w:tc>
          <w:tcPr>
            <w:tcW w:w="41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同类项目经验：依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以来完成的同类项目合同或验收报告</w:t>
            </w:r>
          </w:p>
        </w:tc>
        <w:tc>
          <w:tcPr>
            <w:tcW w:w="4160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对完成项目与本项目类型相近度及金额大小进行对比。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得8分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得6分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得4分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履约能力、财务状况（依据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年度财务报表）</w:t>
            </w:r>
          </w:p>
        </w:tc>
        <w:tc>
          <w:tcPr>
            <w:tcW w:w="4160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得3分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得2分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得1分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97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仿宋_GB2312" w:hAnsi="Calibri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4"/>
                <w:szCs w:val="22"/>
                <w:lang w:val="en-US" w:eastAsia="zh-CN"/>
              </w:rPr>
              <w:t>在有效期内的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/>
              </w:rPr>
              <w:t>质量管理体系、环境管理体系、职业健康安全管理体系认证情况</w:t>
            </w:r>
          </w:p>
        </w:tc>
        <w:tc>
          <w:tcPr>
            <w:tcW w:w="4160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每具有一项得1分，最高得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分；无：0分。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97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仿宋_GB2312" w:hAnsi="Calibri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  <w:t>客户评价（依据《</w:t>
            </w:r>
            <w:r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/>
              </w:rPr>
              <w:t>业绩一览表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  <w:t>》中的业主评价）</w:t>
            </w:r>
          </w:p>
        </w:tc>
        <w:tc>
          <w:tcPr>
            <w:tcW w:w="4160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得6分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得4分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得3分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97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仿宋_GB2312" w:hAnsi="宋体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获得国家有关部门或行业协会颁发的资质等级或奖项</w:t>
            </w:r>
          </w:p>
        </w:tc>
        <w:tc>
          <w:tcPr>
            <w:tcW w:w="4160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优：对比最优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得8分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良：对比次之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得6分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中：对比一般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得4分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差：对比最差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得0分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tbl>
    <w:p>
      <w:pPr>
        <w:widowControl w:val="0"/>
        <w:numPr>
          <w:ilvl w:val="0"/>
          <w:numId w:val="1"/>
        </w:numPr>
        <w:jc w:val="both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综合诚信评价得分评审</w:t>
      </w:r>
    </w:p>
    <w:p>
      <w:pPr>
        <w:spacing w:before="312"/>
        <w:ind w:firstLine="480" w:firstLineChars="200"/>
      </w:pPr>
      <w:r>
        <w:rPr>
          <w:rFonts w:hint="eastAsia" w:ascii="仿宋_GB2312" w:hAnsi="宋体" w:eastAsia="仿宋_GB2312"/>
          <w:bCs/>
          <w:kern w:val="2"/>
          <w:sz w:val="24"/>
          <w:szCs w:val="24"/>
        </w:rPr>
        <w:t>以“信用中国”（www.creditchina.gov.cn）网站为查询渠道，对列入企业经营异常名录的供应商每一条记录扣</w:t>
      </w:r>
      <w:r>
        <w:rPr>
          <w:rFonts w:hint="eastAsia" w:ascii="仿宋_GB2312" w:hAnsi="宋体" w:eastAsia="仿宋_GB2312"/>
          <w:bCs/>
          <w:kern w:val="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bCs/>
          <w:kern w:val="2"/>
          <w:sz w:val="24"/>
          <w:szCs w:val="24"/>
        </w:rPr>
        <w:t>分，最高扣</w:t>
      </w:r>
      <w:r>
        <w:rPr>
          <w:rFonts w:hint="eastAsia" w:ascii="仿宋_GB2312" w:hAnsi="宋体" w:eastAsia="仿宋_GB2312"/>
          <w:bCs/>
          <w:kern w:val="2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/>
          <w:bCs/>
          <w:kern w:val="2"/>
          <w:sz w:val="24"/>
          <w:szCs w:val="24"/>
        </w:rPr>
        <w:t>分；未列入则不扣分（如查询结果显示“没查到您要的信息”，视为未列入企业经营异常名录）。评审时</w:t>
      </w:r>
      <w:r>
        <w:rPr>
          <w:rFonts w:hint="eastAsia" w:ascii="仿宋_GB2312" w:hAnsi="宋体" w:eastAsia="仿宋_GB2312"/>
          <w:bCs/>
          <w:kern w:val="2"/>
          <w:sz w:val="24"/>
          <w:szCs w:val="24"/>
          <w:lang w:val="en-US" w:eastAsia="zh-CN"/>
        </w:rPr>
        <w:t>评审小组</w:t>
      </w:r>
      <w:r>
        <w:rPr>
          <w:rFonts w:hint="eastAsia" w:ascii="仿宋_GB2312" w:hAnsi="宋体" w:eastAsia="仿宋_GB2312"/>
          <w:bCs/>
          <w:kern w:val="2"/>
          <w:sz w:val="24"/>
          <w:szCs w:val="24"/>
        </w:rPr>
        <w:t>应将信用信息查询记录和证据截图存档。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C38"/>
    <w:multiLevelType w:val="multilevel"/>
    <w:tmpl w:val="153D0C38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724FE"/>
    <w:rsid w:val="392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2023-06-27T01:22:00Z</dcterms:created>
  <dc:creator>bynync-515</dc:creator>
  <cp:lastModifiedBy>bynync-515</cp:lastModifiedBy>
  <dcterms:modified xsi:type="dcterms:W3CDTF">2023-06-27T01:22:50Z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