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bCs/>
          <w:sz w:val="32"/>
          <w:szCs w:val="32"/>
          <w:highlight w:val="white"/>
        </w:rPr>
      </w:pPr>
      <w:bookmarkStart w:id="0" w:name="_Toc403491571"/>
      <w:bookmarkStart w:id="1" w:name="_Toc401575155"/>
      <w:r>
        <w:rPr>
          <w:rFonts w:hint="eastAsia" w:ascii="黑体" w:hAnsi="黑体" w:eastAsia="黑体" w:cs="黑体"/>
          <w:bCs/>
          <w:sz w:val="32"/>
          <w:szCs w:val="32"/>
          <w:highlight w:val="white"/>
        </w:rPr>
        <w:t>附件4</w:t>
      </w:r>
    </w:p>
    <w:p>
      <w:pPr>
        <w:pStyle w:val="5"/>
      </w:pPr>
    </w:p>
    <w:p>
      <w:pPr>
        <w:pStyle w:val="8"/>
        <w:widowControl w:val="0"/>
        <w:shd w:val="clear" w:color="auto" w:fill="FFFFFF"/>
        <w:wordWrap w:val="0"/>
        <w:spacing w:before="0" w:beforeAutospacing="0" w:after="150" w:afterAutospacing="0" w:line="540" w:lineRule="atLeast"/>
        <w:jc w:val="center"/>
      </w:pPr>
      <w:r>
        <w:rPr>
          <w:rFonts w:hint="eastAsia" w:ascii="方正小标宋简体" w:hAnsi="方正小标宋简体" w:eastAsia="方正小标宋简体" w:cs="方正小标宋简体"/>
          <w:bCs/>
          <w:sz w:val="36"/>
          <w:szCs w:val="36"/>
          <w:lang w:val="en-US" w:eastAsia="zh-CN"/>
        </w:rPr>
        <w:t>大源街采购垃圾分类示范路线提质升级设施</w:t>
      </w:r>
      <w:r>
        <w:rPr>
          <w:rFonts w:hint="eastAsia" w:ascii="方正小标宋简体" w:hAnsi="方正小标宋简体" w:eastAsia="方正小标宋简体" w:cs="方正小标宋简体"/>
          <w:bCs/>
          <w:sz w:val="36"/>
          <w:szCs w:val="36"/>
        </w:rPr>
        <w:t>项目方案投标评分细则</w:t>
      </w:r>
    </w:p>
    <w:p>
      <w:pPr>
        <w:pStyle w:val="3"/>
        <w:numPr>
          <w:ilvl w:val="0"/>
          <w:numId w:val="0"/>
        </w:numPr>
        <w:ind w:firstLine="640" w:firstLineChars="200"/>
        <w:rPr>
          <w:b w:val="0"/>
          <w:bCs w:val="0"/>
          <w:sz w:val="32"/>
          <w:szCs w:val="32"/>
          <w:lang w:val="en-GB"/>
        </w:rPr>
      </w:pPr>
      <w:r>
        <w:rPr>
          <w:rFonts w:hint="eastAsia"/>
          <w:b w:val="0"/>
          <w:bCs w:val="0"/>
          <w:sz w:val="32"/>
          <w:szCs w:val="32"/>
        </w:rPr>
        <w:t>一.</w:t>
      </w:r>
      <w:r>
        <w:rPr>
          <w:rFonts w:hint="eastAsia"/>
          <w:b w:val="0"/>
          <w:bCs w:val="0"/>
          <w:sz w:val="32"/>
          <w:szCs w:val="32"/>
          <w:lang w:val="en-GB"/>
        </w:rPr>
        <w:t>评标程序</w:t>
      </w:r>
      <w:bookmarkEnd w:id="0"/>
      <w:bookmarkEnd w:id="1"/>
    </w:p>
    <w:p>
      <w:pPr>
        <w:spacing w:line="360" w:lineRule="auto"/>
        <w:ind w:firstLine="480" w:firstLineChars="200"/>
        <w:rPr>
          <w:rFonts w:ascii="宋体" w:hAnsi="宋体"/>
          <w:sz w:val="24"/>
        </w:rPr>
      </w:pPr>
      <w:r>
        <w:rPr>
          <w:rFonts w:hint="eastAsia" w:ascii="宋体" w:hAnsi="宋体"/>
          <w:sz w:val="24"/>
          <w:highlight w:val="white"/>
        </w:rPr>
        <w:t>（一）资格审查</w:t>
      </w:r>
    </w:p>
    <w:p>
      <w:pPr>
        <w:tabs>
          <w:tab w:val="left" w:pos="0"/>
        </w:tabs>
        <w:spacing w:line="360" w:lineRule="auto"/>
        <w:ind w:firstLine="480" w:firstLineChars="200"/>
        <w:rPr>
          <w:rFonts w:ascii="宋体" w:hAnsi="宋体"/>
          <w:sz w:val="24"/>
          <w:szCs w:val="22"/>
        </w:rPr>
      </w:pPr>
      <w:r>
        <w:rPr>
          <w:rFonts w:hint="eastAsia" w:ascii="宋体" w:hAnsi="宋体"/>
          <w:sz w:val="24"/>
          <w:highlight w:val="white"/>
        </w:rPr>
        <w:t>项目开标结束后，采购人或者交易中心应当依法对投标人的资格进行审查，出现不符合下列情形之一时，作无效投标处理。《资格审查表》如下：</w:t>
      </w:r>
    </w:p>
    <w:tbl>
      <w:tblPr>
        <w:tblStyle w:val="9"/>
        <w:tblW w:w="9798" w:type="dxa"/>
        <w:tblCellSpacing w:w="15" w:type="dxa"/>
        <w:tblInd w:w="0" w:type="dxa"/>
        <w:tblLayout w:type="fixed"/>
        <w:tblCellMar>
          <w:top w:w="0" w:type="dxa"/>
          <w:left w:w="108" w:type="dxa"/>
          <w:bottom w:w="0" w:type="dxa"/>
          <w:right w:w="108" w:type="dxa"/>
        </w:tblCellMar>
      </w:tblPr>
      <w:tblGrid>
        <w:gridCol w:w="9798"/>
      </w:tblGrid>
      <w:tr>
        <w:tblPrEx>
          <w:tblCellMar>
            <w:top w:w="0" w:type="dxa"/>
            <w:left w:w="108" w:type="dxa"/>
            <w:bottom w:w="0" w:type="dxa"/>
            <w:right w:w="108" w:type="dxa"/>
          </w:tblCellMar>
        </w:tblPrEx>
        <w:trPr>
          <w:tblCellSpacing w:w="15" w:type="dxa"/>
        </w:trPr>
        <w:tc>
          <w:tcPr>
            <w:tcW w:w="9738" w:type="dxa"/>
            <w:tcMar>
              <w:top w:w="15" w:type="dxa"/>
              <w:left w:w="15" w:type="dxa"/>
              <w:bottom w:w="15" w:type="dxa"/>
              <w:right w:w="15" w:type="dxa"/>
            </w:tcMar>
            <w:vAlign w:val="center"/>
          </w:tcPr>
          <w:tbl>
            <w:tblPr>
              <w:tblStyle w:val="9"/>
              <w:tblW w:w="8978" w:type="dxa"/>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276"/>
              <w:gridCol w:w="7702"/>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6"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序号</w:t>
                  </w:r>
                </w:p>
              </w:tc>
              <w:tc>
                <w:tcPr>
                  <w:tcW w:w="7702" w:type="dxa"/>
                  <w:tcBorders>
                    <w:top w:val="single" w:color="auto" w:sz="6" w:space="0"/>
                    <w:left w:val="single" w:color="auto" w:sz="6" w:space="0"/>
                    <w:bottom w:val="single" w:color="auto" w:sz="6" w:space="0"/>
                    <w:right w:val="single" w:color="auto" w:sz="4" w:space="0"/>
                  </w:tcBorders>
                  <w:vAlign w:val="center"/>
                </w:tcPr>
                <w:p>
                  <w:pPr>
                    <w:jc w:val="center"/>
                    <w:rPr>
                      <w:rFonts w:ascii="Calibri" w:hAnsi="Calibri"/>
                      <w:szCs w:val="22"/>
                    </w:rPr>
                  </w:pPr>
                  <w:r>
                    <w:rPr>
                      <w:rFonts w:hint="eastAsia" w:ascii="宋体" w:hAnsi="宋体" w:cs="宋体"/>
                      <w:sz w:val="24"/>
                    </w:rPr>
                    <w:t>资格审查内容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6"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1</w:t>
                  </w:r>
                </w:p>
              </w:tc>
              <w:tc>
                <w:tcPr>
                  <w:tcW w:w="7702" w:type="dxa"/>
                  <w:tcBorders>
                    <w:top w:val="single" w:color="auto" w:sz="6" w:space="0"/>
                    <w:left w:val="single" w:color="auto" w:sz="6" w:space="0"/>
                    <w:bottom w:val="single" w:color="auto" w:sz="6" w:space="0"/>
                    <w:right w:val="single" w:color="auto" w:sz="4" w:space="0"/>
                  </w:tcBorders>
                  <w:vAlign w:val="center"/>
                </w:tcPr>
                <w:p>
                  <w:pPr>
                    <w:jc w:val="left"/>
                    <w:rPr>
                      <w:rFonts w:ascii="Calibri" w:hAnsi="Calibri"/>
                      <w:szCs w:val="22"/>
                    </w:rPr>
                  </w:pPr>
                  <w:r>
                    <w:rPr>
                      <w:rFonts w:hint="eastAsia" w:ascii="宋体" w:hAnsi="宋体" w:cs="宋体"/>
                      <w:sz w:val="24"/>
                    </w:rPr>
                    <w:t>中华人民共和国境内合法存续的企业法人、其他组织。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6"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2</w:t>
                  </w:r>
                </w:p>
              </w:tc>
              <w:tc>
                <w:tcPr>
                  <w:tcW w:w="7702" w:type="dxa"/>
                  <w:tcBorders>
                    <w:top w:val="single" w:color="auto" w:sz="6" w:space="0"/>
                    <w:left w:val="single" w:color="auto" w:sz="6" w:space="0"/>
                    <w:bottom w:val="single" w:color="auto" w:sz="6" w:space="0"/>
                    <w:right w:val="single" w:color="auto" w:sz="4" w:space="0"/>
                  </w:tcBorders>
                  <w:vAlign w:val="center"/>
                </w:tcPr>
                <w:p>
                  <w:pPr>
                    <w:jc w:val="left"/>
                    <w:rPr>
                      <w:rFonts w:ascii="Calibri" w:hAnsi="Calibri"/>
                      <w:szCs w:val="22"/>
                    </w:rPr>
                  </w:pPr>
                  <w:r>
                    <w:rPr>
                      <w:rFonts w:hint="eastAsia" w:ascii="宋体" w:hAnsi="宋体" w:cs="宋体"/>
                      <w:sz w:val="24"/>
                    </w:rPr>
                    <w:t>满足《政府采购法》第二十二条所规定的条件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14"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3</w:t>
                  </w:r>
                </w:p>
              </w:tc>
              <w:tc>
                <w:tcPr>
                  <w:tcW w:w="7702" w:type="dxa"/>
                  <w:tcBorders>
                    <w:top w:val="single" w:color="auto" w:sz="6" w:space="0"/>
                    <w:left w:val="single" w:color="auto" w:sz="6" w:space="0"/>
                    <w:bottom w:val="single" w:color="auto" w:sz="6" w:space="0"/>
                    <w:right w:val="single" w:color="auto" w:sz="4" w:space="0"/>
                  </w:tcBorders>
                  <w:vAlign w:val="center"/>
                </w:tcPr>
                <w:p>
                  <w:pPr>
                    <w:jc w:val="left"/>
                    <w:rPr>
                      <w:rFonts w:ascii="Calibri" w:hAnsi="Calibri"/>
                      <w:szCs w:val="22"/>
                    </w:rPr>
                  </w:pPr>
                  <w:r>
                    <w:rPr>
                      <w:rFonts w:hint="eastAsia" w:ascii="宋体" w:hAnsi="宋体" w:cs="宋体"/>
                      <w:sz w:val="24"/>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供应商须提供相关证明资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77"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4</w:t>
                  </w:r>
                </w:p>
              </w:tc>
              <w:tc>
                <w:tcPr>
                  <w:tcW w:w="7702" w:type="dxa"/>
                  <w:tcBorders>
                    <w:top w:val="single" w:color="auto" w:sz="6" w:space="0"/>
                    <w:left w:val="single" w:color="auto" w:sz="6" w:space="0"/>
                    <w:bottom w:val="single" w:color="auto" w:sz="6" w:space="0"/>
                    <w:right w:val="single" w:color="auto" w:sz="4" w:space="0"/>
                  </w:tcBorders>
                  <w:vAlign w:val="center"/>
                </w:tcPr>
                <w:p>
                  <w:pPr>
                    <w:pStyle w:val="8"/>
                    <w:shd w:val="clear" w:color="auto" w:fill="FFFFFF"/>
                    <w:spacing w:before="225" w:beforeAutospacing="0" w:after="225" w:afterAutospacing="0"/>
                    <w:outlineLvl w:val="0"/>
                    <w:rPr>
                      <w:kern w:val="2"/>
                      <w:szCs w:val="22"/>
                    </w:rPr>
                  </w:pPr>
                  <w:r>
                    <w:rPr>
                      <w:rFonts w:hint="eastAsia"/>
                      <w:kern w:val="2"/>
                    </w:rPr>
                    <w:t>具有良好的商业信誉和健全的财务会计制度；（提供近期财务报表复印件）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52"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2"/>
                    </w:rPr>
                  </w:pPr>
                  <w:r>
                    <w:rPr>
                      <w:rFonts w:hint="eastAsia" w:ascii="宋体" w:hAnsi="宋体" w:cs="宋体"/>
                      <w:sz w:val="24"/>
                    </w:rPr>
                    <w:t>5</w:t>
                  </w:r>
                </w:p>
              </w:tc>
              <w:tc>
                <w:tcPr>
                  <w:tcW w:w="7702" w:type="dxa"/>
                  <w:tcBorders>
                    <w:top w:val="single" w:color="auto" w:sz="6" w:space="0"/>
                    <w:left w:val="single" w:color="auto" w:sz="6" w:space="0"/>
                    <w:bottom w:val="single" w:color="auto" w:sz="6" w:space="0"/>
                    <w:right w:val="single" w:color="auto" w:sz="4" w:space="0"/>
                  </w:tcBorders>
                  <w:vAlign w:val="center"/>
                </w:tcPr>
                <w:p>
                  <w:pPr>
                    <w:pStyle w:val="8"/>
                    <w:shd w:val="clear" w:color="auto" w:fill="FFFFFF"/>
                    <w:spacing w:before="225" w:beforeAutospacing="0" w:after="225" w:afterAutospacing="0"/>
                    <w:outlineLvl w:val="0"/>
                    <w:rPr>
                      <w:kern w:val="2"/>
                      <w:szCs w:val="22"/>
                    </w:rPr>
                  </w:pPr>
                  <w:r>
                    <w:rPr>
                      <w:rFonts w:hint="eastAsia"/>
                      <w:kern w:val="2"/>
                    </w:rPr>
                    <w:t>有依法缴纳税收和社会保障资金的良好记录；（提供近期纳税证明、社保证明复印件）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20"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2"/>
                    </w:rPr>
                  </w:pPr>
                  <w:r>
                    <w:rPr>
                      <w:rFonts w:hint="eastAsia" w:ascii="宋体" w:hAnsi="宋体" w:cs="宋体"/>
                      <w:sz w:val="24"/>
                    </w:rPr>
                    <w:t>6</w:t>
                  </w:r>
                </w:p>
              </w:tc>
              <w:tc>
                <w:tcPr>
                  <w:tcW w:w="7702"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sz w:val="24"/>
                      <w:szCs w:val="22"/>
                    </w:rPr>
                  </w:pPr>
                  <w:r>
                    <w:rPr>
                      <w:rFonts w:hint="eastAsia" w:ascii="宋体" w:hAnsi="宋体" w:cs="宋体"/>
                      <w:sz w:val="24"/>
                    </w:rPr>
                    <w:t>本项目不接受联合体投标</w:t>
                  </w:r>
                </w:p>
              </w:tc>
            </w:tr>
          </w:tbl>
          <w:p>
            <w:pPr>
              <w:rPr>
                <w:rFonts w:ascii="Calibri" w:hAnsi="Calibri"/>
                <w:szCs w:val="22"/>
              </w:rPr>
            </w:pPr>
          </w:p>
        </w:tc>
      </w:tr>
    </w:tbl>
    <w:p>
      <w:pPr>
        <w:rPr>
          <w:rFonts w:ascii="宋体" w:hAnsi="宋体"/>
          <w:color w:val="000080"/>
          <w:sz w:val="24"/>
          <w:highlight w:val="white"/>
        </w:rPr>
      </w:pPr>
    </w:p>
    <w:p>
      <w:pPr>
        <w:pStyle w:val="3"/>
        <w:numPr>
          <w:ilvl w:val="0"/>
          <w:numId w:val="0"/>
        </w:numPr>
        <w:ind w:firstLine="640" w:firstLineChars="200"/>
        <w:rPr>
          <w:b w:val="0"/>
          <w:bCs w:val="0"/>
          <w:sz w:val="32"/>
          <w:szCs w:val="32"/>
        </w:rPr>
      </w:pPr>
    </w:p>
    <w:p>
      <w:pPr>
        <w:rPr>
          <w:sz w:val="32"/>
          <w:szCs w:val="32"/>
        </w:rPr>
      </w:pPr>
    </w:p>
    <w:p>
      <w:pPr>
        <w:pStyle w:val="5"/>
      </w:pPr>
    </w:p>
    <w:p>
      <w:pPr>
        <w:pStyle w:val="3"/>
        <w:numPr>
          <w:ilvl w:val="0"/>
          <w:numId w:val="0"/>
        </w:numPr>
        <w:ind w:firstLine="640" w:firstLineChars="200"/>
        <w:rPr>
          <w:b w:val="0"/>
          <w:bCs w:val="0"/>
          <w:sz w:val="32"/>
          <w:szCs w:val="32"/>
          <w:lang w:val="en-GB"/>
        </w:rPr>
      </w:pPr>
      <w:r>
        <w:rPr>
          <w:rFonts w:hint="eastAsia"/>
          <w:b w:val="0"/>
          <w:bCs w:val="0"/>
          <w:sz w:val="32"/>
          <w:szCs w:val="32"/>
        </w:rPr>
        <w:t>二.</w:t>
      </w:r>
      <w:r>
        <w:rPr>
          <w:rFonts w:hint="eastAsia"/>
          <w:b w:val="0"/>
          <w:bCs w:val="0"/>
          <w:sz w:val="32"/>
          <w:szCs w:val="32"/>
          <w:lang w:val="en-GB"/>
        </w:rPr>
        <w:t>本项目的分值构成</w:t>
      </w:r>
    </w:p>
    <w:tbl>
      <w:tblPr>
        <w:tblStyle w:val="9"/>
        <w:tblpPr w:leftFromText="180" w:rightFromText="180" w:vertAnchor="text" w:horzAnchor="page" w:tblpX="2000" w:tblpY="245"/>
        <w:tblOverlap w:val="never"/>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6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27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 w:val="24"/>
                <w:szCs w:val="24"/>
              </w:rPr>
            </w:pPr>
            <w:r>
              <w:rPr>
                <w:rFonts w:hint="eastAsia" w:cs="宋体"/>
                <w:b/>
                <w:sz w:val="24"/>
                <w:szCs w:val="24"/>
              </w:rPr>
              <w:t>评审部分</w:t>
            </w:r>
          </w:p>
        </w:tc>
        <w:tc>
          <w:tcPr>
            <w:tcW w:w="616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 w:val="24"/>
                <w:szCs w:val="24"/>
              </w:rPr>
            </w:pPr>
            <w:r>
              <w:rPr>
                <w:rFonts w:hint="eastAsia"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327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sz w:val="24"/>
                <w:szCs w:val="24"/>
              </w:rPr>
            </w:pPr>
            <w:r>
              <w:rPr>
                <w:rFonts w:hint="eastAsia" w:cs="宋体"/>
                <w:b/>
                <w:sz w:val="24"/>
                <w:szCs w:val="24"/>
              </w:rPr>
              <w:t>服务建设部分</w:t>
            </w:r>
          </w:p>
        </w:tc>
        <w:tc>
          <w:tcPr>
            <w:tcW w:w="6160"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ascii="宋体" w:hAnsi="宋体" w:cs="宋体"/>
                <w:sz w:val="24"/>
                <w:szCs w:val="24"/>
              </w:rPr>
            </w:pPr>
            <w:r>
              <w:rPr>
                <w:rFonts w:hint="eastAsia" w:cs="宋体"/>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27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sz w:val="24"/>
                <w:szCs w:val="24"/>
              </w:rPr>
            </w:pPr>
            <w:r>
              <w:rPr>
                <w:rFonts w:hint="eastAsia" w:cs="宋体"/>
                <w:b/>
                <w:sz w:val="24"/>
                <w:szCs w:val="24"/>
              </w:rPr>
              <w:t>价格部分</w:t>
            </w:r>
          </w:p>
        </w:tc>
        <w:tc>
          <w:tcPr>
            <w:tcW w:w="6160"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ascii="宋体" w:hAnsi="宋体" w:cs="宋体"/>
                <w:sz w:val="24"/>
                <w:szCs w:val="24"/>
              </w:rPr>
            </w:pPr>
            <w:r>
              <w:rPr>
                <w:rFonts w:hint="eastAsia" w:cs="宋体"/>
                <w:sz w:val="24"/>
                <w:szCs w:val="24"/>
              </w:rPr>
              <w:t>20</w:t>
            </w:r>
          </w:p>
        </w:tc>
      </w:tr>
    </w:tbl>
    <w:p>
      <w:pPr>
        <w:rPr>
          <w:szCs w:val="21"/>
        </w:rPr>
      </w:pPr>
    </w:p>
    <w:p>
      <w:pPr>
        <w:numPr>
          <w:ilvl w:val="0"/>
          <w:numId w:val="0"/>
        </w:numPr>
        <w:tabs>
          <w:tab w:val="left" w:pos="0"/>
          <w:tab w:val="left" w:pos="720"/>
          <w:tab w:val="left" w:pos="1080"/>
        </w:tabs>
        <w:spacing w:line="360" w:lineRule="auto"/>
        <w:ind w:firstLine="480" w:firstLineChars="200"/>
        <w:rPr>
          <w:rFonts w:hint="eastAsia" w:ascii="宋体" w:hAnsi="宋体" w:eastAsia="宋体" w:cs="宋体"/>
          <w:sz w:val="28"/>
          <w:szCs w:val="28"/>
          <w:highlight w:val="white"/>
        </w:rPr>
      </w:pPr>
      <w:r>
        <w:rPr>
          <w:rFonts w:hint="eastAsia" w:ascii="宋体" w:hAnsi="宋体"/>
          <w:sz w:val="24"/>
          <w:highlight w:val="white"/>
          <w:lang w:val="en-US" w:eastAsia="zh-CN"/>
        </w:rPr>
        <w:t>1.</w:t>
      </w:r>
      <w:r>
        <w:rPr>
          <w:rFonts w:hint="eastAsia" w:ascii="宋体" w:hAnsi="宋体"/>
          <w:sz w:val="24"/>
          <w:highlight w:val="white"/>
        </w:rPr>
        <w:t>由评标委员会成员对所有有效投标文件的技术和商务响应方案进行审核和分析，填写《服务建设评分表》，如下：</w:t>
      </w:r>
      <w:r>
        <w:rPr>
          <w:rFonts w:hint="eastAsia" w:ascii="宋体" w:hAnsi="宋体" w:eastAsia="宋体" w:cs="宋体"/>
          <w:sz w:val="28"/>
          <w:szCs w:val="28"/>
          <w:highlight w:val="white"/>
        </w:rPr>
        <w:t xml:space="preserve"> </w:t>
      </w:r>
    </w:p>
    <w:p>
      <w:pPr>
        <w:numPr>
          <w:ilvl w:val="0"/>
          <w:numId w:val="0"/>
        </w:numPr>
        <w:tabs>
          <w:tab w:val="left" w:pos="0"/>
          <w:tab w:val="left" w:pos="720"/>
          <w:tab w:val="left" w:pos="1080"/>
        </w:tabs>
        <w:spacing w:line="360" w:lineRule="auto"/>
        <w:ind w:firstLine="480" w:firstLineChars="200"/>
        <w:rPr>
          <w:rFonts w:hint="eastAsia" w:ascii="宋体" w:hAnsi="宋体"/>
          <w:sz w:val="24"/>
          <w:highlight w:val="white"/>
        </w:rPr>
      </w:pPr>
      <w:r>
        <w:rPr>
          <w:rFonts w:hint="eastAsia" w:ascii="宋体" w:hAnsi="宋体"/>
          <w:sz w:val="24"/>
          <w:highlight w:val="white"/>
          <w:lang w:val="en-US" w:eastAsia="zh-CN"/>
        </w:rPr>
        <w:t>2.</w:t>
      </w:r>
      <w:r>
        <w:rPr>
          <w:rFonts w:hint="eastAsia" w:ascii="宋体" w:hAnsi="宋体"/>
          <w:sz w:val="24"/>
          <w:highlight w:val="white"/>
        </w:rPr>
        <w:t>服务建设评分（80分）</w:t>
      </w:r>
    </w:p>
    <w:tbl>
      <w:tblPr>
        <w:tblW w:w="9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49"/>
        <w:gridCol w:w="1610"/>
        <w:gridCol w:w="6040"/>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2" w:hRule="atLeast"/>
        </w:trPr>
        <w:tc>
          <w:tcPr>
            <w:tcW w:w="5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评分项目</w:t>
            </w:r>
          </w:p>
        </w:tc>
        <w:tc>
          <w:tcPr>
            <w:tcW w:w="6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评  分  细  则</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3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比选人文件的整体制作情况</w:t>
            </w:r>
          </w:p>
        </w:tc>
        <w:tc>
          <w:tcPr>
            <w:tcW w:w="6040" w:type="dxa"/>
            <w:tcBorders>
              <w:top w:val="single" w:color="000000" w:sz="4" w:space="0"/>
              <w:left w:val="nil"/>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根据比选人的投标文件的整体制作完整性, 合理性酌情打分；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制作优秀计6分；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制作良好计3分；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制作较差计1分；</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比选人第三方评价</w:t>
            </w:r>
          </w:p>
        </w:tc>
        <w:tc>
          <w:tcPr>
            <w:tcW w:w="6040" w:type="dxa"/>
            <w:tcBorders>
              <w:top w:val="single" w:color="000000" w:sz="4" w:space="0"/>
              <w:left w:val="nil"/>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1、报价供应商具备建筑装修装饰工程专业承包二级或以上的承包资质（提供证书复印件），符合得1分，不符合不得分；                                                                            2、具有建设主管部门颁发的有效《安全生产许可证》（提供证书复印件），符合得1分，不符合不得分；                                                          3、专职安全员须具有安全生产考核合格证（C 类或 C3 类）或建筑施工企业专职安全生产管理人员安全生产考核合格证书；（提供证书复印件）                                   备注：每符合一项得1分，最高得3分，不符合不得分                    4.比选人具有策划类的计算机软件著作权登记证书：每具有一个得1分，最高得3分；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5.比选人具有国家认证认可监督管理部门批准设立的认证机构颁发的ISO质量管理体系认证证书、环境管理体系认证证书、职业健康安全管理体系认证证书的每符合一项得1分，最高得3分，不符合不得分。                                                            注：须提供认证证书复印件。</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信誉</w:t>
            </w:r>
          </w:p>
        </w:tc>
        <w:tc>
          <w:tcPr>
            <w:tcW w:w="6040" w:type="dxa"/>
            <w:tcBorders>
              <w:top w:val="single" w:color="000000" w:sz="4" w:space="0"/>
              <w:left w:val="nil"/>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比选人具有中国人民银行备案机构的企业信用等级证书（AAA级）、重合同守信用等级证书（AAA级）、重服务守信用等级证书（AAA级）、诚信经营示范等级证书（AAA级）、质量服务诚信等级证书（AAA级）、中国诚信企业家等证书，每符合一项得1分，最高得6分，不符合不得分                     </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相关服务经验</w:t>
            </w:r>
          </w:p>
        </w:tc>
        <w:tc>
          <w:tcPr>
            <w:tcW w:w="6040" w:type="dxa"/>
            <w:tcBorders>
              <w:top w:val="single" w:color="000000" w:sz="4" w:space="0"/>
              <w:left w:val="nil"/>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具有垃圾分类示范线路提质升级服务经验或类似服务经验5次及以上（包括5次）的10分，4次的8分，3次的6分，2次的4分，1次的2分，0次不得分</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服务方案</w:t>
            </w:r>
          </w:p>
        </w:tc>
        <w:tc>
          <w:tcPr>
            <w:tcW w:w="6040" w:type="dxa"/>
            <w:tcBorders>
              <w:top w:val="single" w:color="000000" w:sz="4" w:space="0"/>
              <w:left w:val="nil"/>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根据比选人对本项目服务方案进行横向对比（包括但不限于服务方案、人员投入、质量控制及安全措施、特殊事件的应急处理等）：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方案实用，服务过程完整、实施科学合理、操作性强、针对性强的计30分；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方案较实用、服务过程较完整，较合理、可操作性较强，有较强针对性的计20分；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方案实用性、合理性、可操作性一般，针对性不明确的计10分；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其他不计分。</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1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客户评价</w:t>
            </w:r>
          </w:p>
        </w:tc>
        <w:tc>
          <w:tcPr>
            <w:tcW w:w="6040" w:type="dxa"/>
            <w:tcBorders>
              <w:top w:val="single" w:color="000000" w:sz="4" w:space="0"/>
              <w:left w:val="nil"/>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每提供1份满意或优秀或好评的评价得1分，最高分5分。</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4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合理化建议</w:t>
            </w:r>
          </w:p>
        </w:tc>
        <w:tc>
          <w:tcPr>
            <w:tcW w:w="6040" w:type="dxa"/>
            <w:tcBorders>
              <w:top w:val="single" w:color="000000" w:sz="4" w:space="0"/>
              <w:left w:val="nil"/>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比选人针对本项目工作提供了切实可行的具体办法，对项目实施的重点、难点有相应见解，提出相应的合理化建议，评标委员会根据各比选人建议进行横向对比综合评审：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1.合理化建议全面、提供的实施建议方案切实可行，对重点问题进行研究、提出完全符合本项目特点建议的计5分；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2.合理化建议比较全面、提供的实施建议方案可行，对重点问题进行研究、提出基本符合本项目特点建议的计3分；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3.合理化建议内容不太全面，未提出符合本项目特点建议的计1分；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其他不计分。</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5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售后服务</w:t>
            </w:r>
          </w:p>
        </w:tc>
        <w:tc>
          <w:tcPr>
            <w:tcW w:w="6040" w:type="dxa"/>
            <w:tcBorders>
              <w:top w:val="single" w:color="000000" w:sz="4" w:space="0"/>
              <w:left w:val="nil"/>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比选人针对本项目提供售前、售中、售后服务，且服务保证措施得当；能够提供快速、便捷、持续的技术支持，保障设备工作运行，提供本地化服务；有完整的售后服务计划，人员分工明确等等。根据比选人提供的售后方案酌情打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预案科学合理、内容完整、详细、切实可行，得7分；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预案比较科学合理、内容比较完整、详细、可行，得4分；预案基本科学合理、内容基本完整、可行，得2分；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其他或无响应的，得0分。</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bl>
    <w:p>
      <w:pPr>
        <w:numPr>
          <w:ilvl w:val="0"/>
          <w:numId w:val="0"/>
        </w:numPr>
        <w:tabs>
          <w:tab w:val="left" w:pos="0"/>
          <w:tab w:val="left" w:pos="720"/>
          <w:tab w:val="left" w:pos="1080"/>
        </w:tabs>
        <w:spacing w:line="360" w:lineRule="auto"/>
        <w:rPr>
          <w:rFonts w:hint="eastAsia" w:ascii="宋体" w:hAnsi="宋体"/>
          <w:sz w:val="24"/>
          <w:highlight w:val="white"/>
        </w:rPr>
      </w:pPr>
    </w:p>
    <w:p>
      <w:pPr>
        <w:numPr>
          <w:ilvl w:val="0"/>
          <w:numId w:val="0"/>
        </w:numPr>
        <w:tabs>
          <w:tab w:val="left" w:pos="0"/>
          <w:tab w:val="left" w:pos="720"/>
          <w:tab w:val="left" w:pos="1080"/>
        </w:tabs>
        <w:spacing w:line="360" w:lineRule="auto"/>
        <w:ind w:leftChars="200"/>
        <w:rPr>
          <w:rFonts w:hint="eastAsia" w:ascii="宋体" w:hAnsi="宋体"/>
          <w:sz w:val="24"/>
          <w:highlight w:val="white"/>
          <w:lang w:val="en-GB"/>
        </w:rPr>
      </w:pPr>
      <w:r>
        <w:rPr>
          <w:rFonts w:hint="eastAsia" w:ascii="宋体" w:hAnsi="宋体"/>
          <w:sz w:val="24"/>
          <w:highlight w:val="white"/>
          <w:lang w:val="en-US" w:eastAsia="zh-CN"/>
        </w:rPr>
        <w:t>3.</w:t>
      </w:r>
      <w:r>
        <w:rPr>
          <w:rFonts w:hint="eastAsia" w:ascii="宋体" w:hAnsi="宋体"/>
          <w:sz w:val="24"/>
          <w:highlight w:val="white"/>
        </w:rPr>
        <w:t>价格评分</w:t>
      </w:r>
      <w:r>
        <w:rPr>
          <w:rFonts w:hint="eastAsia" w:ascii="宋体" w:hAnsi="宋体"/>
          <w:sz w:val="24"/>
          <w:highlight w:val="white"/>
          <w:lang w:val="en-GB"/>
        </w:rPr>
        <w:t>（</w:t>
      </w:r>
      <w:r>
        <w:rPr>
          <w:rFonts w:hint="eastAsia" w:ascii="宋体" w:hAnsi="宋体"/>
          <w:sz w:val="24"/>
          <w:highlight w:val="white"/>
        </w:rPr>
        <w:t>20分</w:t>
      </w:r>
      <w:r>
        <w:rPr>
          <w:rFonts w:hint="eastAsia" w:ascii="宋体" w:hAnsi="宋体"/>
          <w:sz w:val="24"/>
          <w:highlight w:val="white"/>
          <w:lang w:val="en-GB"/>
        </w:rPr>
        <w:t>）</w:t>
      </w:r>
    </w:p>
    <w:p>
      <w:pPr>
        <w:numPr>
          <w:ilvl w:val="0"/>
          <w:numId w:val="0"/>
        </w:numPr>
        <w:tabs>
          <w:tab w:val="left" w:pos="0"/>
          <w:tab w:val="left" w:pos="720"/>
          <w:tab w:val="left" w:pos="1080"/>
        </w:tabs>
        <w:spacing w:line="360" w:lineRule="auto"/>
        <w:ind w:firstLine="480" w:firstLineChars="200"/>
        <w:rPr>
          <w:rFonts w:ascii="宋体" w:hAnsi="宋体"/>
          <w:sz w:val="24"/>
          <w:highlight w:val="white"/>
        </w:rPr>
      </w:pPr>
      <w:r>
        <w:rPr>
          <w:rFonts w:hint="eastAsia" w:ascii="宋体" w:hAnsi="宋体"/>
          <w:sz w:val="24"/>
          <w:highlight w:val="white"/>
        </w:rPr>
        <w:t>平均价评分。询价小组以投标文件为依据，对其进行评审，在全部满足内容和条件的前提下，按所报总价由低到高排列顺序，确定平均价，取平均价为评标基准价，越偏离平均价，分值越低。投标人的价格分统一按照下列公式计算：</w:t>
      </w:r>
    </w:p>
    <w:p>
      <w:pPr>
        <w:tabs>
          <w:tab w:val="left" w:pos="0"/>
          <w:tab w:val="left" w:pos="720"/>
          <w:tab w:val="left" w:pos="1080"/>
        </w:tabs>
        <w:spacing w:line="360" w:lineRule="auto"/>
        <w:ind w:firstLine="480" w:firstLineChars="200"/>
        <w:rPr>
          <w:rFonts w:ascii="宋体" w:hAnsi="宋体"/>
          <w:sz w:val="24"/>
          <w:highlight w:val="white"/>
        </w:rPr>
      </w:pPr>
      <w:r>
        <w:rPr>
          <w:rFonts w:hint="eastAsia" w:ascii="宋体" w:hAnsi="宋体"/>
          <w:sz w:val="24"/>
          <w:highlight w:val="white"/>
        </w:rPr>
        <w:t>偏离参数= [（评标基准价／评标价）-1]的绝对值</w:t>
      </w:r>
    </w:p>
    <w:p>
      <w:pPr>
        <w:tabs>
          <w:tab w:val="left" w:pos="0"/>
          <w:tab w:val="left" w:pos="720"/>
          <w:tab w:val="left" w:pos="1080"/>
        </w:tabs>
        <w:spacing w:line="360" w:lineRule="auto"/>
        <w:ind w:firstLine="480" w:firstLineChars="200"/>
        <w:rPr>
          <w:rFonts w:ascii="宋体" w:hAnsi="宋体"/>
          <w:sz w:val="24"/>
          <w:highlight w:val="white"/>
        </w:rPr>
      </w:pPr>
      <w:r>
        <w:rPr>
          <w:rFonts w:hint="eastAsia" w:ascii="宋体" w:hAnsi="宋体"/>
          <w:sz w:val="24"/>
          <w:highlight w:val="white"/>
        </w:rPr>
        <w:t>价格评分=(1-偏离参数)×20分</w:t>
      </w:r>
    </w:p>
    <w:p>
      <w:pPr>
        <w:tabs>
          <w:tab w:val="left" w:pos="0"/>
          <w:tab w:val="left" w:pos="720"/>
          <w:tab w:val="left" w:pos="1080"/>
        </w:tabs>
        <w:spacing w:line="360" w:lineRule="auto"/>
        <w:ind w:firstLine="480" w:firstLineChars="200"/>
        <w:rPr>
          <w:rFonts w:ascii="宋体" w:hAnsi="宋体"/>
          <w:sz w:val="24"/>
          <w:highlight w:val="white"/>
        </w:rPr>
      </w:pPr>
    </w:p>
    <w:p>
      <w:bookmarkStart w:id="2" w:name="_GoBack"/>
      <w:bookmarkEnd w:id="2"/>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83638"/>
    <w:multiLevelType w:val="multilevel"/>
    <w:tmpl w:val="61A83638"/>
    <w:lvl w:ilvl="0" w:tentative="0">
      <w:start w:val="1"/>
      <w:numFmt w:val="chineseCountingThousand"/>
      <w:pStyle w:val="3"/>
      <w:lvlText w:val="%1."/>
      <w:lvlJc w:val="left"/>
      <w:pPr>
        <w:ind w:left="0" w:firstLine="0"/>
      </w:pPr>
    </w:lvl>
    <w:lvl w:ilvl="1" w:tentative="0">
      <w:start w:val="1"/>
      <w:numFmt w:val="decimal"/>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isLg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E3MWQ0MGNiYTg5MjIwY2M5Yjc5ODkyMDllYWFmYjAifQ=="/>
  </w:docVars>
  <w:rsids>
    <w:rsidRoot w:val="139F7AA4"/>
    <w:rsid w:val="000871C2"/>
    <w:rsid w:val="000904A1"/>
    <w:rsid w:val="000A707F"/>
    <w:rsid w:val="000B48CF"/>
    <w:rsid w:val="00224BEC"/>
    <w:rsid w:val="0035680B"/>
    <w:rsid w:val="004B599D"/>
    <w:rsid w:val="005067D8"/>
    <w:rsid w:val="005C057B"/>
    <w:rsid w:val="00655087"/>
    <w:rsid w:val="006764BE"/>
    <w:rsid w:val="007946E4"/>
    <w:rsid w:val="00895624"/>
    <w:rsid w:val="00A7391D"/>
    <w:rsid w:val="00A86111"/>
    <w:rsid w:val="00B03600"/>
    <w:rsid w:val="00CF5407"/>
    <w:rsid w:val="00D41841"/>
    <w:rsid w:val="00DF6EB1"/>
    <w:rsid w:val="00EB0BDE"/>
    <w:rsid w:val="00F761E5"/>
    <w:rsid w:val="02AE1888"/>
    <w:rsid w:val="0BE843EC"/>
    <w:rsid w:val="0C580B1B"/>
    <w:rsid w:val="0ED50DF9"/>
    <w:rsid w:val="11D45BB2"/>
    <w:rsid w:val="139F7AA4"/>
    <w:rsid w:val="149B24BB"/>
    <w:rsid w:val="14C3531C"/>
    <w:rsid w:val="1D3E1AE8"/>
    <w:rsid w:val="1FD36FB2"/>
    <w:rsid w:val="21931F92"/>
    <w:rsid w:val="264659B5"/>
    <w:rsid w:val="274E24F8"/>
    <w:rsid w:val="2DAA75E9"/>
    <w:rsid w:val="34174B29"/>
    <w:rsid w:val="385338BC"/>
    <w:rsid w:val="3B016DFE"/>
    <w:rsid w:val="3E292CEC"/>
    <w:rsid w:val="3E321D09"/>
    <w:rsid w:val="40594167"/>
    <w:rsid w:val="417B22EA"/>
    <w:rsid w:val="41845387"/>
    <w:rsid w:val="44A374D5"/>
    <w:rsid w:val="55A54AA1"/>
    <w:rsid w:val="566D69A1"/>
    <w:rsid w:val="57881ACD"/>
    <w:rsid w:val="605F3269"/>
    <w:rsid w:val="606A5AB1"/>
    <w:rsid w:val="608B2917"/>
    <w:rsid w:val="626E1548"/>
    <w:rsid w:val="62AF2ED5"/>
    <w:rsid w:val="63264EF9"/>
    <w:rsid w:val="67E7565B"/>
    <w:rsid w:val="683D1830"/>
    <w:rsid w:val="6BE4001F"/>
    <w:rsid w:val="6E950225"/>
    <w:rsid w:val="74087A73"/>
    <w:rsid w:val="74B66401"/>
    <w:rsid w:val="76E3489B"/>
    <w:rsid w:val="7CF577D7"/>
    <w:rsid w:val="7E834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0" w:after="10" w:line="480" w:lineRule="auto"/>
      <w:outlineLvl w:val="0"/>
    </w:pPr>
    <w:rPr>
      <w:rFonts w:ascii="黑体" w:hAnsi="黑体" w:eastAsia="黑体" w:cs="宋体"/>
      <w:b/>
      <w:bCs/>
      <w:kern w:val="44"/>
      <w:sz w:val="36"/>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Indent"/>
    <w:basedOn w:val="1"/>
    <w:qFormat/>
    <w:uiPriority w:val="99"/>
    <w:pPr>
      <w:widowControl/>
      <w:ind w:firstLine="420"/>
      <w:textAlignment w:val="baseline"/>
    </w:pPr>
    <w:rPr>
      <w:szCs w:val="20"/>
    </w:rPr>
  </w:style>
  <w:style w:type="paragraph" w:styleId="5">
    <w:name w:val="Body Text"/>
    <w:basedOn w:val="1"/>
    <w:next w:val="6"/>
    <w:qFormat/>
    <w:uiPriority w:val="99"/>
    <w:pPr>
      <w:spacing w:after="120"/>
    </w:pPr>
    <w:rPr>
      <w:rFonts w:ascii="Times New Roman" w:hAnsi="Times New Roman" w:cs="Times New Roman"/>
    </w:rPr>
  </w:style>
  <w:style w:type="paragraph" w:styleId="6">
    <w:name w:val="Body Text 2"/>
    <w:basedOn w:val="1"/>
    <w:qFormat/>
    <w:uiPriority w:val="0"/>
    <w:pPr>
      <w:spacing w:after="120" w:line="480" w:lineRule="auto"/>
    </w:pPr>
    <w:rPr>
      <w:rFonts w:ascii="Times New Roman" w:hAnsi="Times New Roman" w:cs="Times New Roma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paragraph" w:customStyle="1" w:styleId="12">
    <w:name w:val="Normal_0_1"/>
    <w:qFormat/>
    <w:uiPriority w:val="0"/>
    <w:rPr>
      <w:rFonts w:ascii="Times New Roman" w:hAnsi="Times New Roman" w:eastAsia="Times New Roman" w:cs="Times New Roman"/>
      <w:sz w:val="24"/>
      <w:szCs w:val="24"/>
      <w:lang w:val="en-US" w:eastAsia="zh-CN" w:bidi="ar-SA"/>
    </w:rPr>
  </w:style>
  <w:style w:type="paragraph" w:customStyle="1" w:styleId="13">
    <w:name w:val="Normal_0_2"/>
    <w:qFormat/>
    <w:uiPriority w:val="0"/>
    <w:rPr>
      <w:rFonts w:ascii="Times New Roman" w:hAnsi="Times New Roman" w:eastAsia="Times New Roman" w:cs="Times New Roman"/>
      <w:sz w:val="24"/>
      <w:szCs w:val="24"/>
      <w:lang w:val="en-US" w:eastAsia="zh-CN" w:bidi="ar-SA"/>
    </w:rPr>
  </w:style>
  <w:style w:type="character" w:customStyle="1" w:styleId="14">
    <w:name w:val="页眉 Char"/>
    <w:basedOn w:val="10"/>
    <w:link w:val="2"/>
    <w:qFormat/>
    <w:uiPriority w:val="0"/>
    <w:rPr>
      <w:kern w:val="2"/>
      <w:sz w:val="18"/>
      <w:szCs w:val="18"/>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2034</Words>
  <Characters>2092</Characters>
  <Lines>16</Lines>
  <Paragraphs>4</Paragraphs>
  <TotalTime>5</TotalTime>
  <ScaleCrop>false</ScaleCrop>
  <LinksUpToDate>false</LinksUpToDate>
  <CharactersWithSpaces>2101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2022-08-10T07:09:00Z</dcterms:created>
  <dc:creator>liu</dc:creator>
  <cp:lastModifiedBy>未知</cp:lastModifiedBy>
  <cp:lastPrinted>2022-08-11T06:21:00Z</cp:lastPrinted>
  <dcterms:modified xsi:type="dcterms:W3CDTF">2023-07-21T07:34:37Z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1FE3AC76CC7940B4910D3DE9E9B928C1</vt:lpwstr>
  </property>
</Properties>
</file>