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60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lang w:val="en-US" w:eastAsia="zh-CN"/>
        </w:rPr>
        <w:t>广州市白云区发展和改革</w:t>
      </w:r>
      <w:r>
        <w:rPr>
          <w:rFonts w:ascii="Times New Roman" w:hAnsi="Times New Roman" w:eastAsia="方正小标宋简体" w:cs="Times New Roman"/>
          <w:color w:val="000000"/>
          <w:sz w:val="44"/>
          <w:szCs w:val="44"/>
        </w:rPr>
        <w:t>局随机抽查事项清单</w:t>
      </w:r>
    </w:p>
    <w:p>
      <w:pPr>
        <w:pStyle w:val="17"/>
        <w:spacing w:line="600" w:lineRule="exact"/>
        <w:jc w:val="center"/>
        <w:rPr>
          <w:rFonts w:ascii="Times New Roman" w:hAnsi="Times New Roman" w:eastAsia="方正小标宋简体" w:cs="Times New Roman"/>
          <w:color w:val="000000"/>
          <w:sz w:val="44"/>
          <w:szCs w:val="44"/>
        </w:rPr>
      </w:pPr>
      <w:r>
        <w:rPr>
          <w:rFonts w:hint="default" w:ascii="Times New Roman" w:hAnsi="Times New Roman" w:cs="Times New Roman"/>
          <w:szCs w:val="32"/>
        </w:rPr>
        <w:t>（</w:t>
      </w:r>
      <w:r>
        <w:rPr>
          <w:rFonts w:hint="eastAsia" w:ascii="Times New Roman" w:hAnsi="Times New Roman" w:cs="Times New Roman"/>
          <w:szCs w:val="32"/>
          <w:lang w:val="en-US" w:eastAsia="zh-CN"/>
        </w:rPr>
        <w:t>2023版</w:t>
      </w:r>
      <w:r>
        <w:rPr>
          <w:rFonts w:hint="default" w:ascii="Times New Roman" w:hAnsi="Times New Roman" w:cs="Times New Roman"/>
          <w:szCs w:val="32"/>
        </w:rPr>
        <w:t>）</w:t>
      </w:r>
    </w:p>
    <w:tbl>
      <w:tblPr>
        <w:tblStyle w:val="5"/>
        <w:tblW w:w="13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1016"/>
        <w:gridCol w:w="1212"/>
        <w:gridCol w:w="1020"/>
        <w:gridCol w:w="945"/>
        <w:gridCol w:w="743"/>
        <w:gridCol w:w="1005"/>
        <w:gridCol w:w="1035"/>
        <w:gridCol w:w="990"/>
        <w:gridCol w:w="5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blHeader/>
          <w:jc w:val="center"/>
        </w:trPr>
        <w:tc>
          <w:tcPr>
            <w:tcW w:w="470" w:type="dxa"/>
            <w:vMerge w:val="restart"/>
            <w:tcBorders>
              <w:top w:val="single" w:color="000000" w:sz="4" w:space="0"/>
              <w:left w:val="single" w:color="000000" w:sz="4" w:space="0"/>
              <w:right w:val="single" w:color="000000" w:sz="4" w:space="0"/>
            </w:tcBorders>
            <w:noWrap w:val="0"/>
            <w:vAlign w:val="center"/>
          </w:tcPr>
          <w:p>
            <w:pPr>
              <w:pStyle w:val="12"/>
              <w:autoSpaceDN w:val="0"/>
              <w:spacing w:line="240" w:lineRule="exact"/>
              <w:jc w:val="center"/>
              <w:textAlignment w:val="center"/>
              <w:rPr>
                <w:rFonts w:hint="default" w:ascii="Times New Roman" w:hAnsi="Times New Roman" w:eastAsia="仿宋_GB2312" w:cs="Times New Roman"/>
                <w:b/>
                <w:color w:val="000000"/>
                <w:sz w:val="18"/>
                <w:szCs w:val="18"/>
              </w:rPr>
            </w:pPr>
            <w:r>
              <w:rPr>
                <w:rFonts w:hint="default" w:ascii="Times New Roman" w:hAnsi="Times New Roman" w:eastAsia="仿宋_GB2312" w:cs="Times New Roman"/>
                <w:b/>
                <w:color w:val="000000"/>
                <w:sz w:val="18"/>
                <w:szCs w:val="18"/>
              </w:rPr>
              <w:t>序号</w:t>
            </w:r>
          </w:p>
        </w:tc>
        <w:tc>
          <w:tcPr>
            <w:tcW w:w="222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pacing w:line="240" w:lineRule="exact"/>
              <w:jc w:val="center"/>
              <w:textAlignment w:val="center"/>
              <w:rPr>
                <w:rFonts w:hint="default" w:ascii="Times New Roman" w:hAnsi="Times New Roman" w:eastAsia="仿宋_GB2312" w:cs="Times New Roman"/>
                <w:b/>
                <w:color w:val="000000"/>
                <w:sz w:val="18"/>
                <w:szCs w:val="18"/>
              </w:rPr>
            </w:pPr>
            <w:r>
              <w:rPr>
                <w:rFonts w:hint="default" w:ascii="Times New Roman" w:hAnsi="Times New Roman" w:eastAsia="仿宋_GB2312" w:cs="Times New Roman"/>
                <w:b/>
                <w:color w:val="000000"/>
                <w:sz w:val="18"/>
                <w:szCs w:val="18"/>
              </w:rPr>
              <w:t>抽查项目</w:t>
            </w:r>
          </w:p>
        </w:tc>
        <w:tc>
          <w:tcPr>
            <w:tcW w:w="1020" w:type="dxa"/>
            <w:vMerge w:val="restart"/>
            <w:tcBorders>
              <w:top w:val="single" w:color="000000" w:sz="4" w:space="0"/>
              <w:left w:val="single" w:color="000000" w:sz="4" w:space="0"/>
              <w:right w:val="single" w:color="000000" w:sz="4" w:space="0"/>
            </w:tcBorders>
            <w:noWrap w:val="0"/>
            <w:vAlign w:val="center"/>
          </w:tcPr>
          <w:p>
            <w:pPr>
              <w:pStyle w:val="12"/>
              <w:autoSpaceDN w:val="0"/>
              <w:spacing w:line="240" w:lineRule="exact"/>
              <w:jc w:val="both"/>
              <w:textAlignment w:val="center"/>
              <w:rPr>
                <w:rFonts w:hint="default" w:ascii="Times New Roman" w:hAnsi="Times New Roman" w:eastAsia="仿宋_GB2312" w:cs="Times New Roman"/>
                <w:b/>
                <w:color w:val="000000"/>
                <w:sz w:val="18"/>
                <w:szCs w:val="18"/>
              </w:rPr>
            </w:pPr>
            <w:r>
              <w:rPr>
                <w:rFonts w:hint="default" w:ascii="Times New Roman" w:hAnsi="Times New Roman" w:eastAsia="仿宋_GB2312" w:cs="Times New Roman"/>
                <w:b/>
                <w:color w:val="000000"/>
                <w:sz w:val="18"/>
                <w:szCs w:val="18"/>
              </w:rPr>
              <w:t>检查对象</w:t>
            </w:r>
          </w:p>
        </w:tc>
        <w:tc>
          <w:tcPr>
            <w:tcW w:w="945" w:type="dxa"/>
            <w:vMerge w:val="restart"/>
            <w:tcBorders>
              <w:top w:val="single" w:color="000000" w:sz="4" w:space="0"/>
              <w:left w:val="single" w:color="000000" w:sz="4" w:space="0"/>
              <w:right w:val="single" w:color="000000" w:sz="4" w:space="0"/>
            </w:tcBorders>
            <w:noWrap w:val="0"/>
            <w:vAlign w:val="center"/>
          </w:tcPr>
          <w:p>
            <w:pPr>
              <w:pStyle w:val="12"/>
              <w:autoSpaceDN w:val="0"/>
              <w:spacing w:line="240" w:lineRule="exact"/>
              <w:jc w:val="both"/>
              <w:textAlignment w:val="center"/>
              <w:rPr>
                <w:rFonts w:hint="default" w:ascii="Times New Roman" w:hAnsi="Times New Roman" w:eastAsia="仿宋_GB2312" w:cs="Times New Roman"/>
                <w:b/>
                <w:color w:val="000000"/>
                <w:sz w:val="18"/>
                <w:szCs w:val="18"/>
              </w:rPr>
            </w:pPr>
            <w:r>
              <w:rPr>
                <w:rFonts w:hint="default" w:ascii="Times New Roman" w:hAnsi="Times New Roman" w:eastAsia="仿宋_GB2312" w:cs="Times New Roman"/>
                <w:b/>
                <w:color w:val="000000"/>
                <w:sz w:val="18"/>
                <w:szCs w:val="18"/>
              </w:rPr>
              <w:t>事项类别</w:t>
            </w:r>
          </w:p>
        </w:tc>
        <w:tc>
          <w:tcPr>
            <w:tcW w:w="743" w:type="dxa"/>
            <w:vMerge w:val="restart"/>
            <w:tcBorders>
              <w:top w:val="single" w:color="000000" w:sz="4" w:space="0"/>
              <w:left w:val="single" w:color="000000" w:sz="4" w:space="0"/>
              <w:right w:val="single" w:color="000000" w:sz="4" w:space="0"/>
            </w:tcBorders>
            <w:noWrap w:val="0"/>
            <w:vAlign w:val="center"/>
          </w:tcPr>
          <w:p>
            <w:pPr>
              <w:pStyle w:val="12"/>
              <w:autoSpaceDN w:val="0"/>
              <w:spacing w:line="240" w:lineRule="exact"/>
              <w:jc w:val="center"/>
              <w:textAlignment w:val="center"/>
              <w:rPr>
                <w:rFonts w:hint="default" w:ascii="Times New Roman" w:hAnsi="Times New Roman" w:eastAsia="仿宋_GB2312" w:cs="Times New Roman"/>
                <w:b/>
                <w:color w:val="000000"/>
                <w:sz w:val="18"/>
                <w:szCs w:val="18"/>
              </w:rPr>
            </w:pPr>
            <w:r>
              <w:rPr>
                <w:rFonts w:hint="default" w:ascii="Times New Roman" w:hAnsi="Times New Roman" w:eastAsia="仿宋_GB2312" w:cs="Times New Roman"/>
                <w:b/>
                <w:color w:val="000000"/>
                <w:sz w:val="18"/>
                <w:szCs w:val="18"/>
              </w:rPr>
              <w:t>检查比例</w:t>
            </w:r>
          </w:p>
        </w:tc>
        <w:tc>
          <w:tcPr>
            <w:tcW w:w="1005" w:type="dxa"/>
            <w:vMerge w:val="restart"/>
            <w:tcBorders>
              <w:top w:val="single" w:color="000000" w:sz="4" w:space="0"/>
              <w:left w:val="single" w:color="000000" w:sz="4" w:space="0"/>
              <w:right w:val="single" w:color="000000" w:sz="4" w:space="0"/>
            </w:tcBorders>
            <w:noWrap w:val="0"/>
            <w:vAlign w:val="center"/>
          </w:tcPr>
          <w:p>
            <w:pPr>
              <w:pStyle w:val="12"/>
              <w:autoSpaceDN w:val="0"/>
              <w:spacing w:line="240" w:lineRule="exact"/>
              <w:jc w:val="both"/>
              <w:textAlignment w:val="center"/>
              <w:rPr>
                <w:rFonts w:hint="default" w:ascii="Times New Roman" w:hAnsi="Times New Roman" w:eastAsia="仿宋_GB2312" w:cs="Times New Roman"/>
                <w:b/>
                <w:color w:val="000000"/>
                <w:sz w:val="18"/>
                <w:szCs w:val="18"/>
              </w:rPr>
            </w:pPr>
            <w:r>
              <w:rPr>
                <w:rFonts w:hint="default" w:ascii="Times New Roman" w:hAnsi="Times New Roman" w:eastAsia="仿宋_GB2312" w:cs="Times New Roman"/>
                <w:b/>
                <w:color w:val="000000"/>
                <w:sz w:val="18"/>
                <w:szCs w:val="18"/>
              </w:rPr>
              <w:t>检查频次</w:t>
            </w:r>
          </w:p>
        </w:tc>
        <w:tc>
          <w:tcPr>
            <w:tcW w:w="1035" w:type="dxa"/>
            <w:vMerge w:val="restart"/>
            <w:tcBorders>
              <w:top w:val="single" w:color="000000" w:sz="4" w:space="0"/>
              <w:left w:val="single" w:color="000000" w:sz="4" w:space="0"/>
              <w:right w:val="single" w:color="000000" w:sz="4" w:space="0"/>
            </w:tcBorders>
            <w:noWrap w:val="0"/>
            <w:vAlign w:val="center"/>
          </w:tcPr>
          <w:p>
            <w:pPr>
              <w:pStyle w:val="12"/>
              <w:autoSpaceDN w:val="0"/>
              <w:spacing w:line="240" w:lineRule="exact"/>
              <w:jc w:val="both"/>
              <w:textAlignment w:val="center"/>
              <w:rPr>
                <w:rFonts w:hint="default" w:ascii="Times New Roman" w:hAnsi="Times New Roman" w:eastAsia="仿宋_GB2312" w:cs="Times New Roman"/>
                <w:b/>
                <w:color w:val="000000"/>
                <w:sz w:val="18"/>
                <w:szCs w:val="18"/>
              </w:rPr>
            </w:pPr>
            <w:r>
              <w:rPr>
                <w:rFonts w:hint="default" w:ascii="Times New Roman" w:hAnsi="Times New Roman" w:eastAsia="仿宋_GB2312" w:cs="Times New Roman"/>
                <w:b/>
                <w:color w:val="000000"/>
                <w:sz w:val="18"/>
                <w:szCs w:val="18"/>
              </w:rPr>
              <w:t>检查方式</w:t>
            </w:r>
          </w:p>
        </w:tc>
        <w:tc>
          <w:tcPr>
            <w:tcW w:w="990" w:type="dxa"/>
            <w:vMerge w:val="restart"/>
            <w:tcBorders>
              <w:top w:val="single" w:color="000000" w:sz="4" w:space="0"/>
              <w:left w:val="single" w:color="000000" w:sz="4" w:space="0"/>
              <w:right w:val="single" w:color="000000" w:sz="4" w:space="0"/>
            </w:tcBorders>
            <w:noWrap w:val="0"/>
            <w:vAlign w:val="center"/>
          </w:tcPr>
          <w:p>
            <w:pPr>
              <w:pStyle w:val="12"/>
              <w:autoSpaceDN w:val="0"/>
              <w:spacing w:line="240" w:lineRule="exact"/>
              <w:jc w:val="both"/>
              <w:textAlignment w:val="center"/>
              <w:rPr>
                <w:rFonts w:hint="default" w:ascii="Times New Roman" w:hAnsi="Times New Roman" w:eastAsia="仿宋_GB2312" w:cs="Times New Roman"/>
                <w:b/>
                <w:color w:val="000000"/>
                <w:sz w:val="18"/>
                <w:szCs w:val="18"/>
              </w:rPr>
            </w:pPr>
            <w:r>
              <w:rPr>
                <w:rFonts w:hint="default" w:ascii="Times New Roman" w:hAnsi="Times New Roman" w:eastAsia="仿宋_GB2312" w:cs="Times New Roman"/>
                <w:b/>
                <w:color w:val="000000"/>
                <w:sz w:val="18"/>
                <w:szCs w:val="18"/>
              </w:rPr>
              <w:t>检查主体</w:t>
            </w:r>
          </w:p>
        </w:tc>
        <w:tc>
          <w:tcPr>
            <w:tcW w:w="5000" w:type="dxa"/>
            <w:vMerge w:val="restart"/>
            <w:tcBorders>
              <w:top w:val="single" w:color="000000" w:sz="4" w:space="0"/>
              <w:left w:val="single" w:color="000000" w:sz="4" w:space="0"/>
              <w:right w:val="single" w:color="000000" w:sz="4" w:space="0"/>
            </w:tcBorders>
            <w:noWrap w:val="0"/>
            <w:vAlign w:val="center"/>
          </w:tcPr>
          <w:p>
            <w:pPr>
              <w:pStyle w:val="12"/>
              <w:autoSpaceDN w:val="0"/>
              <w:spacing w:line="240" w:lineRule="exact"/>
              <w:jc w:val="both"/>
              <w:textAlignment w:val="center"/>
              <w:rPr>
                <w:rFonts w:hint="default" w:ascii="Times New Roman" w:hAnsi="Times New Roman" w:eastAsia="仿宋_GB2312" w:cs="Times New Roman"/>
                <w:b/>
                <w:color w:val="000000"/>
                <w:sz w:val="18"/>
                <w:szCs w:val="18"/>
              </w:rPr>
            </w:pPr>
            <w:r>
              <w:rPr>
                <w:rFonts w:hint="default" w:ascii="Times New Roman" w:hAnsi="Times New Roman" w:eastAsia="仿宋_GB2312" w:cs="Times New Roman"/>
                <w:b/>
                <w:color w:val="000000"/>
                <w:sz w:val="18"/>
                <w:szCs w:val="18"/>
              </w:rPr>
              <w:t>检查依据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blHeader/>
          <w:jc w:val="center"/>
        </w:trPr>
        <w:tc>
          <w:tcPr>
            <w:tcW w:w="470" w:type="dxa"/>
            <w:vMerge w:val="continue"/>
            <w:tcBorders>
              <w:left w:val="single" w:color="000000" w:sz="4" w:space="0"/>
              <w:bottom w:val="single" w:color="000000" w:sz="4" w:space="0"/>
              <w:right w:val="single" w:color="000000" w:sz="4" w:space="0"/>
            </w:tcBorders>
            <w:noWrap w:val="0"/>
            <w:vAlign w:val="center"/>
          </w:tcPr>
          <w:p>
            <w:pPr>
              <w:pStyle w:val="12"/>
              <w:spacing w:line="240" w:lineRule="exact"/>
              <w:rPr>
                <w:rFonts w:hint="default" w:ascii="Times New Roman" w:hAnsi="Times New Roman" w:eastAsia="仿宋_GB2312" w:cs="Times New Roman"/>
                <w:sz w:val="18"/>
                <w:szCs w:val="18"/>
              </w:rPr>
            </w:pP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pacing w:line="240" w:lineRule="exact"/>
              <w:jc w:val="both"/>
              <w:textAlignment w:val="center"/>
              <w:rPr>
                <w:rFonts w:hint="default" w:ascii="Times New Roman" w:hAnsi="Times New Roman" w:eastAsia="仿宋_GB2312" w:cs="Times New Roman"/>
                <w:b/>
                <w:color w:val="000000"/>
                <w:sz w:val="18"/>
                <w:szCs w:val="18"/>
              </w:rPr>
            </w:pPr>
            <w:r>
              <w:rPr>
                <w:rFonts w:hint="default" w:ascii="Times New Roman" w:hAnsi="Times New Roman" w:eastAsia="仿宋_GB2312" w:cs="Times New Roman"/>
                <w:b/>
                <w:color w:val="000000"/>
                <w:sz w:val="18"/>
                <w:szCs w:val="18"/>
              </w:rPr>
              <w:t>抽查类别</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pStyle w:val="12"/>
              <w:autoSpaceDN w:val="0"/>
              <w:spacing w:line="240" w:lineRule="exact"/>
              <w:jc w:val="both"/>
              <w:textAlignment w:val="center"/>
              <w:rPr>
                <w:rFonts w:hint="default" w:ascii="Times New Roman" w:hAnsi="Times New Roman" w:eastAsia="仿宋_GB2312" w:cs="Times New Roman"/>
                <w:b/>
                <w:color w:val="000000"/>
                <w:sz w:val="18"/>
                <w:szCs w:val="18"/>
              </w:rPr>
            </w:pPr>
            <w:r>
              <w:rPr>
                <w:rFonts w:hint="default" w:ascii="Times New Roman" w:hAnsi="Times New Roman" w:eastAsia="仿宋_GB2312" w:cs="Times New Roman"/>
                <w:b/>
                <w:color w:val="000000"/>
                <w:sz w:val="18"/>
                <w:szCs w:val="18"/>
              </w:rPr>
              <w:t>抽查事项</w:t>
            </w:r>
          </w:p>
        </w:tc>
        <w:tc>
          <w:tcPr>
            <w:tcW w:w="1020" w:type="dxa"/>
            <w:vMerge w:val="continue"/>
            <w:tcBorders>
              <w:left w:val="single" w:color="000000" w:sz="4" w:space="0"/>
              <w:bottom w:val="single" w:color="000000" w:sz="4" w:space="0"/>
              <w:right w:val="single" w:color="000000" w:sz="4" w:space="0"/>
            </w:tcBorders>
            <w:noWrap w:val="0"/>
            <w:vAlign w:val="center"/>
          </w:tcPr>
          <w:p>
            <w:pPr>
              <w:pStyle w:val="12"/>
              <w:autoSpaceDN w:val="0"/>
              <w:spacing w:line="240" w:lineRule="exact"/>
              <w:rPr>
                <w:rFonts w:hint="default" w:ascii="Times New Roman" w:hAnsi="Times New Roman" w:eastAsia="仿宋_GB2312" w:cs="Times New Roman"/>
                <w:sz w:val="18"/>
                <w:szCs w:val="18"/>
              </w:rPr>
            </w:pPr>
          </w:p>
        </w:tc>
        <w:tc>
          <w:tcPr>
            <w:tcW w:w="945" w:type="dxa"/>
            <w:vMerge w:val="continue"/>
            <w:tcBorders>
              <w:left w:val="single" w:color="000000" w:sz="4" w:space="0"/>
              <w:bottom w:val="single" w:color="000000" w:sz="4" w:space="0"/>
              <w:right w:val="single" w:color="000000" w:sz="4" w:space="0"/>
            </w:tcBorders>
            <w:noWrap w:val="0"/>
            <w:vAlign w:val="center"/>
          </w:tcPr>
          <w:p>
            <w:pPr>
              <w:pStyle w:val="12"/>
              <w:autoSpaceDN w:val="0"/>
              <w:spacing w:line="240" w:lineRule="exact"/>
              <w:rPr>
                <w:rFonts w:hint="default" w:ascii="Times New Roman" w:hAnsi="Times New Roman" w:eastAsia="仿宋_GB2312" w:cs="Times New Roman"/>
                <w:sz w:val="18"/>
                <w:szCs w:val="18"/>
              </w:rPr>
            </w:pPr>
          </w:p>
        </w:tc>
        <w:tc>
          <w:tcPr>
            <w:tcW w:w="743" w:type="dxa"/>
            <w:vMerge w:val="continue"/>
            <w:tcBorders>
              <w:left w:val="single" w:color="000000" w:sz="4" w:space="0"/>
              <w:bottom w:val="single" w:color="000000" w:sz="4" w:space="0"/>
              <w:right w:val="single" w:color="000000" w:sz="4" w:space="0"/>
            </w:tcBorders>
            <w:noWrap w:val="0"/>
            <w:vAlign w:val="center"/>
          </w:tcPr>
          <w:p>
            <w:pPr>
              <w:pStyle w:val="12"/>
              <w:autoSpaceDN w:val="0"/>
              <w:spacing w:line="240" w:lineRule="exact"/>
              <w:rPr>
                <w:rFonts w:hint="default" w:ascii="Times New Roman" w:hAnsi="Times New Roman" w:eastAsia="仿宋_GB2312" w:cs="Times New Roman"/>
                <w:sz w:val="18"/>
                <w:szCs w:val="18"/>
              </w:rPr>
            </w:pPr>
          </w:p>
        </w:tc>
        <w:tc>
          <w:tcPr>
            <w:tcW w:w="1005" w:type="dxa"/>
            <w:vMerge w:val="continue"/>
            <w:tcBorders>
              <w:left w:val="single" w:color="000000" w:sz="4" w:space="0"/>
              <w:bottom w:val="single" w:color="000000" w:sz="4" w:space="0"/>
              <w:right w:val="single" w:color="000000" w:sz="4" w:space="0"/>
            </w:tcBorders>
            <w:noWrap w:val="0"/>
            <w:vAlign w:val="center"/>
          </w:tcPr>
          <w:p>
            <w:pPr>
              <w:pStyle w:val="12"/>
              <w:autoSpaceDN w:val="0"/>
              <w:spacing w:line="240" w:lineRule="exact"/>
              <w:rPr>
                <w:rFonts w:hint="default" w:ascii="Times New Roman" w:hAnsi="Times New Roman" w:eastAsia="仿宋_GB2312" w:cs="Times New Roman"/>
                <w:sz w:val="18"/>
                <w:szCs w:val="18"/>
              </w:rPr>
            </w:pPr>
          </w:p>
        </w:tc>
        <w:tc>
          <w:tcPr>
            <w:tcW w:w="1035" w:type="dxa"/>
            <w:vMerge w:val="continue"/>
            <w:tcBorders>
              <w:left w:val="single" w:color="000000" w:sz="4" w:space="0"/>
              <w:bottom w:val="single" w:color="000000" w:sz="4" w:space="0"/>
              <w:right w:val="single" w:color="000000" w:sz="4" w:space="0"/>
            </w:tcBorders>
            <w:noWrap w:val="0"/>
            <w:vAlign w:val="center"/>
          </w:tcPr>
          <w:p>
            <w:pPr>
              <w:pStyle w:val="12"/>
              <w:autoSpaceDN w:val="0"/>
              <w:spacing w:line="240" w:lineRule="exact"/>
              <w:rPr>
                <w:rFonts w:hint="default" w:ascii="Times New Roman" w:hAnsi="Times New Roman" w:eastAsia="仿宋_GB2312" w:cs="Times New Roman"/>
                <w:sz w:val="18"/>
                <w:szCs w:val="18"/>
              </w:rPr>
            </w:pPr>
          </w:p>
        </w:tc>
        <w:tc>
          <w:tcPr>
            <w:tcW w:w="990" w:type="dxa"/>
            <w:vMerge w:val="continue"/>
            <w:tcBorders>
              <w:left w:val="single" w:color="000000" w:sz="4" w:space="0"/>
              <w:bottom w:val="single" w:color="000000" w:sz="4" w:space="0"/>
              <w:right w:val="single" w:color="000000" w:sz="4" w:space="0"/>
            </w:tcBorders>
            <w:noWrap w:val="0"/>
            <w:vAlign w:val="center"/>
          </w:tcPr>
          <w:p>
            <w:pPr>
              <w:pStyle w:val="12"/>
              <w:autoSpaceDN w:val="0"/>
              <w:spacing w:line="240" w:lineRule="exact"/>
              <w:rPr>
                <w:rFonts w:hint="default" w:ascii="Times New Roman" w:hAnsi="Times New Roman" w:eastAsia="仿宋_GB2312" w:cs="Times New Roman"/>
                <w:sz w:val="18"/>
                <w:szCs w:val="18"/>
              </w:rPr>
            </w:pPr>
          </w:p>
        </w:tc>
        <w:tc>
          <w:tcPr>
            <w:tcW w:w="5000" w:type="dxa"/>
            <w:vMerge w:val="continue"/>
            <w:tcBorders>
              <w:left w:val="single" w:color="000000" w:sz="4" w:space="0"/>
              <w:bottom w:val="single" w:color="000000" w:sz="4" w:space="0"/>
              <w:right w:val="single" w:color="000000" w:sz="4" w:space="0"/>
            </w:tcBorders>
            <w:noWrap w:val="0"/>
            <w:vAlign w:val="center"/>
          </w:tcPr>
          <w:p>
            <w:pPr>
              <w:pStyle w:val="12"/>
              <w:autoSpaceDN w:val="0"/>
              <w:spacing w:line="240" w:lineRule="exact"/>
              <w:rPr>
                <w:rFonts w:hint="default"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blHeader/>
          <w:jc w:val="center"/>
        </w:trPr>
        <w:tc>
          <w:tcPr>
            <w:tcW w:w="470" w:type="dxa"/>
            <w:vMerge w:val="restart"/>
            <w:tcBorders>
              <w:top w:val="single" w:color="000000" w:sz="4" w:space="0"/>
              <w:left w:val="single" w:color="000000" w:sz="4" w:space="0"/>
              <w:right w:val="single" w:color="000000" w:sz="4" w:space="0"/>
            </w:tcBorders>
            <w:noWrap w:val="0"/>
            <w:vAlign w:val="center"/>
          </w:tcPr>
          <w:p>
            <w:pPr>
              <w:pStyle w:val="12"/>
              <w:spacing w:line="240" w:lineRule="exact"/>
              <w:jc w:val="center"/>
              <w:rPr>
                <w:rFonts w:hint="default"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sz w:val="18"/>
                <w:szCs w:val="18"/>
                <w:lang w:val="en-US" w:eastAsia="zh-CN"/>
              </w:rPr>
              <w:t>1</w:t>
            </w:r>
          </w:p>
        </w:tc>
        <w:tc>
          <w:tcPr>
            <w:tcW w:w="1016" w:type="dxa"/>
            <w:vMerge w:val="restart"/>
            <w:tcBorders>
              <w:top w:val="single" w:color="000000" w:sz="4" w:space="0"/>
              <w:left w:val="single" w:color="000000" w:sz="4" w:space="0"/>
              <w:right w:val="single" w:color="000000" w:sz="4" w:space="0"/>
            </w:tcBorders>
            <w:noWrap w:val="0"/>
            <w:vAlign w:val="center"/>
          </w:tcPr>
          <w:p>
            <w:pPr>
              <w:pStyle w:val="10"/>
              <w:autoSpaceDN w:val="0"/>
              <w:spacing w:line="240" w:lineRule="exact"/>
              <w:jc w:val="center"/>
              <w:textAlignment w:val="center"/>
              <w:rPr>
                <w:rFonts w:hint="default"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粮食流通及储备粮检</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查</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pStyle w:val="34"/>
              <w:jc w:val="center"/>
              <w:rPr>
                <w:rFonts w:hint="default" w:ascii="宋体" w:hAnsi="宋体" w:eastAsia="宋体" w:cs="Times New Roman"/>
                <w:kern w:val="2"/>
                <w:sz w:val="18"/>
                <w:szCs w:val="18"/>
                <w:lang w:val="en-US" w:eastAsia="zh-CN" w:bidi="ar-SA"/>
              </w:rPr>
            </w:pPr>
            <w:r>
              <w:rPr>
                <w:rFonts w:hint="eastAsia" w:ascii="宋体" w:hAnsi="宋体"/>
                <w:sz w:val="18"/>
                <w:szCs w:val="18"/>
              </w:rPr>
              <w:t>对政府储备粮的数量、质量以及收储、轮换、动用的监督检查</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pStyle w:val="34"/>
              <w:jc w:val="center"/>
              <w:rPr>
                <w:rFonts w:hint="default" w:ascii="宋体" w:hAnsi="宋体" w:eastAsia="宋体" w:cs="Times New Roman"/>
                <w:color w:val="auto"/>
                <w:kern w:val="2"/>
                <w:sz w:val="18"/>
                <w:szCs w:val="18"/>
                <w:lang w:val="en-US" w:eastAsia="zh-CN" w:bidi="ar-SA"/>
              </w:rPr>
            </w:pPr>
            <w:r>
              <w:rPr>
                <w:rFonts w:hint="eastAsia" w:ascii="宋体" w:hAnsi="宋体"/>
                <w:color w:val="auto"/>
                <w:sz w:val="18"/>
                <w:szCs w:val="18"/>
                <w:lang w:eastAsia="zh-CN"/>
              </w:rPr>
              <w:t>辖区内储备粮承储企业</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pStyle w:val="34"/>
              <w:jc w:val="center"/>
              <w:rPr>
                <w:rFonts w:hint="default" w:ascii="宋体" w:hAnsi="宋体" w:eastAsia="宋体" w:cs="Times New Roman"/>
                <w:color w:val="auto"/>
                <w:kern w:val="2"/>
                <w:sz w:val="18"/>
                <w:szCs w:val="18"/>
                <w:lang w:val="en-US" w:eastAsia="zh-CN" w:bidi="ar-SA"/>
              </w:rPr>
            </w:pPr>
            <w:r>
              <w:rPr>
                <w:rFonts w:hint="eastAsia" w:ascii="宋体" w:hAnsi="宋体"/>
                <w:color w:val="auto"/>
                <w:sz w:val="18"/>
                <w:szCs w:val="18"/>
              </w:rPr>
              <w:t>一般检查事项</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pStyle w:val="34"/>
              <w:jc w:val="center"/>
              <w:rPr>
                <w:rFonts w:hint="eastAsia" w:ascii="宋体" w:hAnsi="宋体" w:eastAsia="宋体" w:cs="Times New Roman"/>
                <w:color w:val="auto"/>
                <w:kern w:val="2"/>
                <w:sz w:val="18"/>
                <w:szCs w:val="18"/>
                <w:lang w:val="en-US" w:eastAsia="zh-CN" w:bidi="ar-SA"/>
              </w:rPr>
            </w:pPr>
            <w:r>
              <w:rPr>
                <w:rFonts w:ascii="宋体" w:hAnsi="宋体"/>
                <w:color w:val="auto"/>
                <w:sz w:val="18"/>
                <w:szCs w:val="18"/>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pStyle w:val="34"/>
              <w:jc w:val="center"/>
              <w:rPr>
                <w:rFonts w:hint="default" w:ascii="宋体" w:hAnsi="宋体" w:eastAsia="宋体" w:cs="Times New Roman"/>
                <w:color w:val="auto"/>
                <w:kern w:val="2"/>
                <w:sz w:val="18"/>
                <w:szCs w:val="18"/>
                <w:lang w:val="en-US" w:eastAsia="zh-CN" w:bidi="ar-SA"/>
              </w:rPr>
            </w:pPr>
            <w:r>
              <w:rPr>
                <w:rFonts w:hint="eastAsia" w:ascii="宋体" w:hAnsi="宋体"/>
                <w:color w:val="auto"/>
                <w:sz w:val="18"/>
                <w:szCs w:val="18"/>
              </w:rPr>
              <w:t>每年一次</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pStyle w:val="34"/>
              <w:jc w:val="center"/>
              <w:rPr>
                <w:rFonts w:hint="default" w:ascii="宋体" w:hAnsi="宋体" w:eastAsia="宋体" w:cs="Times New Roman"/>
                <w:kern w:val="2"/>
                <w:sz w:val="18"/>
                <w:szCs w:val="18"/>
                <w:lang w:val="en-US" w:eastAsia="zh-CN" w:bidi="ar-SA"/>
              </w:rPr>
            </w:pPr>
            <w:r>
              <w:rPr>
                <w:rFonts w:hint="eastAsia" w:ascii="宋体" w:hAnsi="宋体"/>
                <w:sz w:val="18"/>
                <w:szCs w:val="18"/>
                <w:lang w:eastAsia="zh-CN"/>
              </w:rPr>
              <w:t>实地核查</w:t>
            </w:r>
            <w:r>
              <w:rPr>
                <w:rFonts w:hint="eastAsia" w:ascii="宋体" w:hAnsi="宋体"/>
                <w:sz w:val="18"/>
                <w:szCs w:val="18"/>
              </w:rPr>
              <w:t>、书面检查</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pStyle w:val="34"/>
              <w:jc w:val="center"/>
              <w:rPr>
                <w:rFonts w:hint="eastAsia" w:ascii="宋体" w:hAnsi="宋体" w:eastAsia="宋体" w:cs="Times New Roman"/>
                <w:kern w:val="2"/>
                <w:sz w:val="18"/>
                <w:szCs w:val="18"/>
                <w:lang w:val="en-US" w:eastAsia="zh-CN" w:bidi="ar-SA"/>
              </w:rPr>
            </w:pPr>
            <w:r>
              <w:rPr>
                <w:rFonts w:hint="eastAsia" w:ascii="宋体" w:hAnsi="宋体"/>
                <w:sz w:val="18"/>
                <w:szCs w:val="18"/>
              </w:rPr>
              <w:t>县级以上粮食行政管理部门</w:t>
            </w:r>
          </w:p>
        </w:tc>
        <w:tc>
          <w:tcPr>
            <w:tcW w:w="5000" w:type="dxa"/>
            <w:tcBorders>
              <w:top w:val="single" w:color="000000" w:sz="4" w:space="0"/>
              <w:left w:val="single" w:color="000000" w:sz="4" w:space="0"/>
              <w:bottom w:val="single" w:color="000000" w:sz="4" w:space="0"/>
              <w:right w:val="single" w:color="000000" w:sz="4" w:space="0"/>
            </w:tcBorders>
            <w:noWrap w:val="0"/>
            <w:vAlign w:val="center"/>
          </w:tcPr>
          <w:p>
            <w:pPr>
              <w:pStyle w:val="34"/>
              <w:jc w:val="center"/>
              <w:rPr>
                <w:rFonts w:hint="eastAsia" w:ascii="宋体" w:hAnsi="宋体" w:eastAsia="宋体" w:cs="Times New Roman"/>
                <w:kern w:val="2"/>
                <w:sz w:val="22"/>
                <w:szCs w:val="22"/>
                <w:lang w:val="en-US" w:eastAsia="zh-CN" w:bidi="ar-SA"/>
              </w:rPr>
            </w:pPr>
            <w:r>
              <w:rPr>
                <w:rFonts w:ascii="宋体" w:hAnsi="宋体" w:eastAsia="宋体" w:cs="宋体"/>
                <w:sz w:val="18"/>
                <w:szCs w:val="18"/>
              </w:rPr>
              <w:t>《粮食流通管理条例》（2021年国务院令第740号修订）</w:t>
            </w:r>
            <w:r>
              <w:rPr>
                <w:rFonts w:hint="eastAsia" w:ascii="宋体" w:hAnsi="宋体" w:eastAsia="宋体" w:cs="宋体"/>
                <w:sz w:val="18"/>
                <w:szCs w:val="18"/>
                <w:lang w:eastAsia="zh-CN"/>
              </w:rPr>
              <w:t>第四十九条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blHeader/>
          <w:jc w:val="center"/>
        </w:trPr>
        <w:tc>
          <w:tcPr>
            <w:tcW w:w="470" w:type="dxa"/>
            <w:vMerge w:val="continue"/>
            <w:tcBorders>
              <w:left w:val="single" w:color="000000" w:sz="4" w:space="0"/>
              <w:right w:val="single" w:color="000000" w:sz="4" w:space="0"/>
            </w:tcBorders>
            <w:noWrap w:val="0"/>
            <w:vAlign w:val="center"/>
          </w:tcPr>
          <w:p>
            <w:pPr>
              <w:pStyle w:val="12"/>
              <w:spacing w:line="240" w:lineRule="exact"/>
              <w:jc w:val="both"/>
              <w:rPr>
                <w:rFonts w:hint="default" w:ascii="Times New Roman" w:hAnsi="Times New Roman" w:eastAsia="仿宋_GB2312" w:cs="Times New Roman"/>
                <w:sz w:val="18"/>
                <w:szCs w:val="18"/>
              </w:rPr>
            </w:pPr>
          </w:p>
        </w:tc>
        <w:tc>
          <w:tcPr>
            <w:tcW w:w="1016" w:type="dxa"/>
            <w:vMerge w:val="continue"/>
            <w:tcBorders>
              <w:left w:val="single" w:color="000000" w:sz="4" w:space="0"/>
              <w:right w:val="single" w:color="000000" w:sz="4" w:space="0"/>
            </w:tcBorders>
            <w:noWrap w:val="0"/>
            <w:vAlign w:val="center"/>
          </w:tcPr>
          <w:p>
            <w:pPr>
              <w:pStyle w:val="12"/>
              <w:spacing w:line="240" w:lineRule="exact"/>
              <w:jc w:val="center"/>
              <w:rPr>
                <w:rFonts w:hint="default" w:ascii="Times New Roman" w:hAnsi="Times New Roman" w:eastAsia="仿宋_GB2312" w:cs="Times New Roman"/>
                <w:color w:val="000000"/>
                <w:sz w:val="18"/>
                <w:szCs w:val="18"/>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pStyle w:val="34"/>
              <w:jc w:val="center"/>
              <w:rPr>
                <w:rFonts w:hint="default" w:ascii="宋体" w:hAnsi="宋体" w:eastAsia="宋体" w:cs="Times New Roman"/>
                <w:kern w:val="2"/>
                <w:sz w:val="18"/>
                <w:szCs w:val="18"/>
                <w:lang w:val="en-US" w:eastAsia="zh-CN" w:bidi="ar-SA"/>
              </w:rPr>
            </w:pPr>
            <w:r>
              <w:rPr>
                <w:rFonts w:hint="eastAsia" w:ascii="宋体" w:hAnsi="宋体"/>
                <w:sz w:val="18"/>
                <w:szCs w:val="18"/>
              </w:rPr>
              <w:t>对本行政区域的粮油仓储工作实施监督管理</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pStyle w:val="34"/>
              <w:jc w:val="center"/>
              <w:rPr>
                <w:rFonts w:hint="default" w:ascii="宋体" w:hAnsi="宋体" w:eastAsia="宋体" w:cs="Times New Roman"/>
                <w:color w:val="auto"/>
                <w:kern w:val="2"/>
                <w:sz w:val="18"/>
                <w:szCs w:val="18"/>
                <w:lang w:val="en-US" w:eastAsia="zh-CN" w:bidi="ar-SA"/>
              </w:rPr>
            </w:pPr>
            <w:r>
              <w:rPr>
                <w:rFonts w:hint="eastAsia" w:ascii="宋体" w:hAnsi="宋体"/>
                <w:color w:val="auto"/>
                <w:sz w:val="18"/>
                <w:szCs w:val="18"/>
              </w:rPr>
              <w:t>在本</w:t>
            </w:r>
            <w:r>
              <w:rPr>
                <w:rFonts w:hint="eastAsia" w:ascii="宋体" w:hAnsi="宋体"/>
                <w:color w:val="auto"/>
                <w:sz w:val="18"/>
                <w:szCs w:val="18"/>
                <w:lang w:eastAsia="zh-CN"/>
              </w:rPr>
              <w:t>区</w:t>
            </w:r>
            <w:r>
              <w:rPr>
                <w:rFonts w:hint="eastAsia" w:ascii="宋体" w:hAnsi="宋体"/>
                <w:color w:val="auto"/>
                <w:sz w:val="18"/>
                <w:szCs w:val="18"/>
              </w:rPr>
              <w:t>粮食行政管理部门备案且仓储设施在本市行政区域内的粮油仓储单位</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pStyle w:val="34"/>
              <w:jc w:val="center"/>
              <w:rPr>
                <w:rFonts w:hint="default" w:ascii="宋体" w:hAnsi="宋体" w:eastAsia="宋体" w:cs="Times New Roman"/>
                <w:color w:val="auto"/>
                <w:kern w:val="2"/>
                <w:sz w:val="18"/>
                <w:szCs w:val="18"/>
                <w:lang w:val="en-US" w:eastAsia="zh-CN" w:bidi="ar-SA"/>
              </w:rPr>
            </w:pPr>
            <w:r>
              <w:rPr>
                <w:rFonts w:hint="eastAsia" w:ascii="宋体" w:hAnsi="宋体"/>
                <w:color w:val="auto"/>
                <w:sz w:val="18"/>
                <w:szCs w:val="18"/>
              </w:rPr>
              <w:t>一般检查事项</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pStyle w:val="34"/>
              <w:jc w:val="center"/>
              <w:rPr>
                <w:rFonts w:hint="eastAsia" w:ascii="宋体" w:hAnsi="宋体" w:eastAsia="宋体" w:cs="Times New Roman"/>
                <w:color w:val="auto"/>
                <w:kern w:val="2"/>
                <w:sz w:val="18"/>
                <w:szCs w:val="18"/>
                <w:lang w:val="en-US" w:eastAsia="zh-CN" w:bidi="ar-SA"/>
              </w:rPr>
            </w:pPr>
            <w:r>
              <w:rPr>
                <w:rFonts w:ascii="宋体" w:hAnsi="宋体"/>
                <w:color w:val="auto"/>
                <w:sz w:val="18"/>
                <w:szCs w:val="18"/>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pStyle w:val="34"/>
              <w:jc w:val="center"/>
              <w:rPr>
                <w:rFonts w:hint="default" w:ascii="宋体" w:hAnsi="宋体" w:eastAsia="宋体" w:cs="Times New Roman"/>
                <w:color w:val="auto"/>
                <w:kern w:val="2"/>
                <w:sz w:val="18"/>
                <w:szCs w:val="18"/>
                <w:lang w:val="en-US" w:eastAsia="zh-CN" w:bidi="ar-SA"/>
              </w:rPr>
            </w:pPr>
            <w:r>
              <w:rPr>
                <w:rFonts w:hint="eastAsia" w:ascii="宋体" w:hAnsi="宋体"/>
                <w:color w:val="auto"/>
                <w:sz w:val="18"/>
                <w:szCs w:val="18"/>
              </w:rPr>
              <w:t>每年一次</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pStyle w:val="34"/>
              <w:jc w:val="center"/>
              <w:rPr>
                <w:rFonts w:hint="default" w:ascii="宋体" w:hAnsi="宋体" w:eastAsia="宋体" w:cs="Times New Roman"/>
                <w:color w:val="auto"/>
                <w:kern w:val="2"/>
                <w:sz w:val="18"/>
                <w:szCs w:val="18"/>
                <w:lang w:val="en-US" w:eastAsia="zh-CN" w:bidi="ar-SA"/>
              </w:rPr>
            </w:pPr>
            <w:r>
              <w:rPr>
                <w:rFonts w:hint="eastAsia" w:ascii="宋体" w:hAnsi="宋体"/>
                <w:color w:val="auto"/>
                <w:sz w:val="18"/>
                <w:szCs w:val="18"/>
                <w:lang w:val="en-US" w:eastAsia="zh-CN"/>
              </w:rPr>
              <w:t>实地核</w:t>
            </w:r>
            <w:r>
              <w:rPr>
                <w:rFonts w:hint="eastAsia" w:ascii="宋体" w:hAnsi="宋体"/>
                <w:color w:val="auto"/>
                <w:sz w:val="18"/>
                <w:szCs w:val="18"/>
              </w:rPr>
              <w:t>查、书面检查</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pStyle w:val="34"/>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县级以上粮食行政管理部门</w:t>
            </w:r>
          </w:p>
        </w:tc>
        <w:tc>
          <w:tcPr>
            <w:tcW w:w="5000" w:type="dxa"/>
            <w:tcBorders>
              <w:top w:val="single" w:color="000000" w:sz="4" w:space="0"/>
              <w:left w:val="single" w:color="000000" w:sz="4" w:space="0"/>
              <w:bottom w:val="single" w:color="000000" w:sz="4" w:space="0"/>
              <w:right w:val="single" w:color="000000" w:sz="4" w:space="0"/>
            </w:tcBorders>
            <w:noWrap w:val="0"/>
            <w:vAlign w:val="center"/>
          </w:tcPr>
          <w:p>
            <w:pPr>
              <w:pStyle w:val="34"/>
              <w:jc w:val="center"/>
              <w:rPr>
                <w:rFonts w:hint="eastAsia" w:ascii="宋体" w:hAnsi="宋体"/>
                <w:sz w:val="18"/>
                <w:szCs w:val="18"/>
              </w:rPr>
            </w:pPr>
            <w:r>
              <w:rPr>
                <w:rFonts w:hint="eastAsia" w:ascii="宋体" w:hAnsi="宋体"/>
                <w:sz w:val="18"/>
                <w:szCs w:val="18"/>
              </w:rPr>
              <w:t>《粮油仓储管理办法》</w:t>
            </w:r>
            <w:r>
              <w:rPr>
                <w:rFonts w:ascii="宋体" w:hAnsi="宋体"/>
                <w:sz w:val="18"/>
                <w:szCs w:val="18"/>
              </w:rPr>
              <w:t>(2009</w:t>
            </w:r>
            <w:r>
              <w:rPr>
                <w:rFonts w:hint="eastAsia" w:ascii="宋体" w:hAnsi="宋体"/>
                <w:sz w:val="18"/>
                <w:szCs w:val="18"/>
              </w:rPr>
              <w:t>年国家发展和改革</w:t>
            </w:r>
          </w:p>
          <w:p>
            <w:pPr>
              <w:pStyle w:val="34"/>
              <w:jc w:val="center"/>
              <w:rPr>
                <w:rFonts w:hint="eastAsia" w:ascii="宋体" w:hAnsi="宋体"/>
                <w:sz w:val="18"/>
                <w:szCs w:val="18"/>
              </w:rPr>
            </w:pPr>
            <w:r>
              <w:rPr>
                <w:rFonts w:hint="eastAsia" w:ascii="宋体" w:hAnsi="宋体"/>
                <w:sz w:val="18"/>
                <w:szCs w:val="18"/>
              </w:rPr>
              <w:t>委员会令第</w:t>
            </w:r>
            <w:r>
              <w:rPr>
                <w:rFonts w:ascii="宋体" w:hAnsi="宋体"/>
                <w:sz w:val="18"/>
                <w:szCs w:val="18"/>
              </w:rPr>
              <w:t>5</w:t>
            </w:r>
            <w:r>
              <w:rPr>
                <w:rFonts w:hint="eastAsia" w:ascii="宋体" w:hAnsi="宋体"/>
                <w:sz w:val="18"/>
                <w:szCs w:val="18"/>
              </w:rPr>
              <w:t>号</w:t>
            </w:r>
            <w:r>
              <w:rPr>
                <w:rFonts w:ascii="宋体" w:hAnsi="宋体"/>
                <w:sz w:val="18"/>
                <w:szCs w:val="18"/>
              </w:rPr>
              <w:t>)</w:t>
            </w:r>
            <w:r>
              <w:rPr>
                <w:rFonts w:hint="eastAsia" w:ascii="宋体" w:hAnsi="宋体"/>
                <w:sz w:val="18"/>
                <w:szCs w:val="18"/>
              </w:rPr>
              <w:t>第五条</w:t>
            </w:r>
          </w:p>
          <w:p>
            <w:pPr>
              <w:pStyle w:val="34"/>
              <w:jc w:val="center"/>
              <w:rPr>
                <w:rFonts w:hint="eastAsia" w:ascii="宋体" w:hAnsi="宋体"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blHeader/>
          <w:jc w:val="center"/>
        </w:trPr>
        <w:tc>
          <w:tcPr>
            <w:tcW w:w="470" w:type="dxa"/>
            <w:vMerge w:val="continue"/>
            <w:tcBorders>
              <w:left w:val="single" w:color="000000" w:sz="4" w:space="0"/>
              <w:bottom w:val="single" w:color="000000" w:sz="4" w:space="0"/>
              <w:right w:val="single" w:color="000000" w:sz="4" w:space="0"/>
            </w:tcBorders>
            <w:noWrap w:val="0"/>
            <w:vAlign w:val="center"/>
          </w:tcPr>
          <w:p>
            <w:pPr>
              <w:pStyle w:val="12"/>
              <w:spacing w:line="240" w:lineRule="exact"/>
              <w:jc w:val="both"/>
              <w:rPr>
                <w:rFonts w:hint="default" w:ascii="Times New Roman" w:hAnsi="Times New Roman" w:eastAsia="仿宋_GB2312" w:cs="Times New Roman"/>
                <w:sz w:val="18"/>
                <w:szCs w:val="18"/>
              </w:rPr>
            </w:pPr>
          </w:p>
        </w:tc>
        <w:tc>
          <w:tcPr>
            <w:tcW w:w="1016" w:type="dxa"/>
            <w:vMerge w:val="continue"/>
            <w:tcBorders>
              <w:left w:val="single" w:color="000000" w:sz="4" w:space="0"/>
              <w:bottom w:val="single" w:color="000000" w:sz="4" w:space="0"/>
              <w:right w:val="single" w:color="000000" w:sz="4" w:space="0"/>
            </w:tcBorders>
            <w:noWrap w:val="0"/>
            <w:vAlign w:val="center"/>
          </w:tcPr>
          <w:p>
            <w:pPr>
              <w:pStyle w:val="12"/>
              <w:spacing w:line="240" w:lineRule="exact"/>
              <w:jc w:val="both"/>
              <w:rPr>
                <w:rFonts w:hint="default" w:ascii="Times New Roman" w:hAnsi="Times New Roman" w:eastAsia="仿宋_GB2312" w:cs="Times New Roman"/>
                <w:color w:val="000000"/>
                <w:sz w:val="18"/>
                <w:szCs w:val="18"/>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pStyle w:val="34"/>
              <w:jc w:val="center"/>
              <w:rPr>
                <w:rFonts w:hint="default" w:ascii="宋体" w:hAnsi="宋体" w:eastAsia="宋体" w:cs="Times New Roman"/>
                <w:kern w:val="2"/>
                <w:sz w:val="18"/>
                <w:szCs w:val="18"/>
                <w:lang w:val="en-US" w:eastAsia="zh-CN" w:bidi="ar-SA"/>
              </w:rPr>
            </w:pPr>
            <w:r>
              <w:rPr>
                <w:rFonts w:hint="eastAsia" w:ascii="宋体" w:hAnsi="宋体"/>
                <w:sz w:val="18"/>
                <w:szCs w:val="18"/>
              </w:rPr>
              <w:t>对粮食经营者从事粮食收购、储存、运输活动和政策性用粮的购销活动，以及执行国家粮食流通统计制度的情况进行监督检查；</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我</w:t>
            </w:r>
            <w:r>
              <w:rPr>
                <w:rFonts w:hint="eastAsia" w:asciiTheme="minorEastAsia" w:hAnsiTheme="minorEastAsia" w:eastAsiaTheme="minorEastAsia" w:cstheme="minorEastAsia"/>
                <w:color w:val="auto"/>
                <w:sz w:val="18"/>
                <w:szCs w:val="18"/>
                <w:lang w:eastAsia="zh-CN"/>
              </w:rPr>
              <w:t>区</w:t>
            </w:r>
            <w:r>
              <w:rPr>
                <w:rFonts w:hint="eastAsia" w:asciiTheme="minorEastAsia" w:hAnsiTheme="minorEastAsia" w:eastAsiaTheme="minorEastAsia" w:cstheme="minorEastAsia"/>
                <w:color w:val="auto"/>
                <w:sz w:val="18"/>
                <w:szCs w:val="18"/>
              </w:rPr>
              <w:t>纳入国家粮油流通统计信息系统的企业</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一般检查事项</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pStyle w:val="34"/>
              <w:jc w:val="center"/>
              <w:rPr>
                <w:rFonts w:hint="eastAsia" w:asciiTheme="minorEastAsia" w:hAnsiTheme="minorEastAsia" w:eastAsiaTheme="minorEastAsia" w:cstheme="minorEastAsia"/>
                <w:color w:val="auto"/>
                <w:kern w:val="2"/>
                <w:sz w:val="18"/>
                <w:szCs w:val="18"/>
                <w:lang w:val="en-US" w:eastAsia="zh-CN" w:bidi="ar-SA"/>
              </w:rPr>
            </w:pPr>
            <w:r>
              <w:rPr>
                <w:rFonts w:ascii="宋体" w:hAnsi="宋体"/>
                <w:color w:val="auto"/>
                <w:sz w:val="18"/>
                <w:szCs w:val="18"/>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pStyle w:val="34"/>
              <w:jc w:val="center"/>
              <w:rPr>
                <w:rFonts w:hint="default" w:asciiTheme="minorEastAsia" w:hAnsiTheme="minorEastAsia" w:eastAsiaTheme="minorEastAsia" w:cstheme="minorEastAsia"/>
                <w:color w:val="auto"/>
                <w:kern w:val="2"/>
                <w:sz w:val="18"/>
                <w:szCs w:val="18"/>
                <w:lang w:val="en-US" w:eastAsia="zh-CN" w:bidi="ar-SA"/>
              </w:rPr>
            </w:pPr>
            <w:r>
              <w:rPr>
                <w:rFonts w:hint="eastAsia" w:ascii="宋体" w:hAnsi="宋体"/>
                <w:color w:val="auto"/>
                <w:sz w:val="18"/>
                <w:szCs w:val="18"/>
              </w:rPr>
              <w:t>每年一次</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eastAsia="zh-CN"/>
              </w:rPr>
              <w:t>实地核查</w:t>
            </w:r>
            <w:r>
              <w:rPr>
                <w:rFonts w:hint="eastAsia" w:asciiTheme="minorEastAsia" w:hAnsiTheme="minorEastAsia" w:eastAsiaTheme="minorEastAsia" w:cstheme="minorEastAsia"/>
                <w:color w:val="auto"/>
                <w:sz w:val="18"/>
                <w:szCs w:val="18"/>
              </w:rPr>
              <w:t>、书面检查</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县级以上粮食行政管理部门</w:t>
            </w:r>
          </w:p>
        </w:tc>
        <w:tc>
          <w:tcPr>
            <w:tcW w:w="5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18"/>
                <w:szCs w:val="18"/>
                <w:lang w:eastAsia="zh-CN"/>
              </w:rPr>
            </w:pPr>
            <w:r>
              <w:rPr>
                <w:rFonts w:ascii="宋体" w:hAnsi="宋体" w:eastAsia="宋体" w:cs="宋体"/>
                <w:sz w:val="18"/>
                <w:szCs w:val="18"/>
              </w:rPr>
              <w:t>《粮食流通管理条例》（2021年国务院令第740号修订）</w:t>
            </w:r>
            <w:r>
              <w:rPr>
                <w:rFonts w:hint="eastAsia" w:ascii="宋体" w:hAnsi="宋体" w:eastAsia="宋体" w:cs="宋体"/>
                <w:sz w:val="18"/>
                <w:szCs w:val="18"/>
                <w:lang w:eastAsia="zh-CN"/>
              </w:rPr>
              <w:t>第三十八条</w:t>
            </w:r>
          </w:p>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国家粮食和物资储备局关于印发《国家粮食流通统计调查制度》的通知（国粮发〔2018〕263号）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blHeader/>
          <w:jc w:val="center"/>
        </w:trPr>
        <w:tc>
          <w:tcPr>
            <w:tcW w:w="0" w:type="auto"/>
          </w:tcPr>
          <w:p>
            <w:pPr>
              <w:pStyle w:val="12"/>
              <w:spacing w:line="240" w:lineRule="exact"/>
              <w:jc w:val="both"/>
              <w:rPr>
                <w:rFonts w:hint="default" w:ascii="Times New Roman" w:hAnsi="Times New Roman" w:eastAsia="仿宋_GB2312" w:cs="Times New Roman"/>
                <w:sz w:val="18"/>
                <w:szCs w:val="18"/>
              </w:rPr>
            </w:pPr>
          </w:p>
        </w:tc>
        <w:tc>
          <w:tcPr>
            <w:tcW w:w="0" w:type="auto"/>
          </w:tcPr>
          <w:p>
            <w:pPr>
              <w:pStyle w:val="12"/>
              <w:spacing w:line="240" w:lineRule="exact"/>
              <w:jc w:val="both"/>
              <w:rPr>
                <w:rFonts w:hint="default" w:ascii="Times New Roman" w:hAnsi="Times New Roman" w:eastAsia="仿宋_GB2312" w:cs="Times New Roman"/>
                <w:color w:val="000000"/>
                <w:sz w:val="18"/>
                <w:szCs w:val="18"/>
              </w:rPr>
            </w:pPr>
          </w:p>
        </w:tc>
        <w:tc>
          <w:tcPr>
            <w:tcW w:w="1212" w:type="dxa"/>
            <w:vAlign w:val="center"/>
          </w:tcPr>
          <w:p>
            <w:pPr>
              <w:pStyle w:val="34"/>
              <w:jc w:val="center"/>
              <w:rPr>
                <w:rFonts w:hint="default" w:ascii="宋体" w:hAnsi="宋体" w:eastAsia="宋体" w:cs="Times New Roman"/>
                <w:color w:val="auto"/>
                <w:kern w:val="2"/>
                <w:sz w:val="18"/>
                <w:szCs w:val="18"/>
                <w:lang w:val="en-US" w:eastAsia="zh-CN" w:bidi="ar-SA"/>
              </w:rPr>
            </w:pPr>
            <w:r>
              <w:rPr>
                <w:rFonts w:hint="eastAsia" w:ascii="宋体" w:hAnsi="宋体"/>
                <w:color w:val="auto"/>
                <w:sz w:val="18"/>
                <w:szCs w:val="18"/>
              </w:rPr>
              <w:t>对本行政区域收购、储存、运输、政策性粮食加工和原粮、政策性粮食销售的质量安全实施监督管理</w:t>
            </w:r>
          </w:p>
        </w:tc>
        <w:tc>
          <w:tcPr>
            <w:tcW w:w="1020" w:type="dxa"/>
            <w:vAlign w:val="center"/>
          </w:tcPr>
          <w:p>
            <w:pPr>
              <w:pStyle w:val="34"/>
              <w:jc w:val="center"/>
              <w:rPr>
                <w:rFonts w:hint="default" w:ascii="宋体" w:hAnsi="宋体" w:eastAsia="宋体" w:cs="Times New Roman"/>
                <w:color w:val="auto"/>
                <w:kern w:val="2"/>
                <w:sz w:val="18"/>
                <w:szCs w:val="18"/>
                <w:lang w:val="en-US" w:eastAsia="zh-CN" w:bidi="ar-SA"/>
              </w:rPr>
            </w:pPr>
            <w:r>
              <w:rPr>
                <w:rFonts w:hint="eastAsia" w:ascii="宋体" w:hAnsi="宋体"/>
                <w:color w:val="auto"/>
                <w:sz w:val="18"/>
                <w:szCs w:val="18"/>
                <w:lang w:eastAsia="zh-CN"/>
              </w:rPr>
              <w:t>辖</w:t>
            </w:r>
            <w:r>
              <w:rPr>
                <w:rFonts w:hint="eastAsia" w:ascii="宋体" w:hAnsi="宋体"/>
                <w:b w:val="0"/>
                <w:bCs w:val="0"/>
                <w:color w:val="auto"/>
                <w:sz w:val="18"/>
                <w:szCs w:val="18"/>
                <w:lang w:eastAsia="zh-CN"/>
              </w:rPr>
              <w:t>区内储备粮承储企业</w:t>
            </w:r>
          </w:p>
        </w:tc>
        <w:tc>
          <w:tcPr>
            <w:tcW w:w="945" w:type="dxa"/>
            <w:vAlign w:val="center"/>
          </w:tcPr>
          <w:p>
            <w:pPr>
              <w:pStyle w:val="34"/>
              <w:jc w:val="center"/>
              <w:rPr>
                <w:rFonts w:hint="default" w:ascii="宋体" w:hAnsi="宋体" w:eastAsia="宋体" w:cs="Times New Roman"/>
                <w:color w:val="auto"/>
                <w:kern w:val="2"/>
                <w:sz w:val="18"/>
                <w:szCs w:val="18"/>
                <w:lang w:val="en-US" w:eastAsia="zh-CN" w:bidi="ar-SA"/>
              </w:rPr>
            </w:pPr>
            <w:r>
              <w:rPr>
                <w:rFonts w:hint="eastAsia" w:ascii="宋体" w:hAnsi="宋体"/>
                <w:color w:val="auto"/>
                <w:sz w:val="18"/>
                <w:szCs w:val="18"/>
              </w:rPr>
              <w:t>一般检查事项</w:t>
            </w:r>
          </w:p>
        </w:tc>
        <w:tc>
          <w:tcPr>
            <w:tcW w:w="743" w:type="dxa"/>
            <w:vAlign w:val="center"/>
          </w:tcPr>
          <w:p>
            <w:pPr>
              <w:pStyle w:val="34"/>
              <w:jc w:val="center"/>
              <w:rPr>
                <w:rFonts w:hint="eastAsia" w:ascii="宋体" w:hAnsi="宋体" w:eastAsia="宋体" w:cs="Times New Roman"/>
                <w:color w:val="auto"/>
                <w:kern w:val="2"/>
                <w:sz w:val="18"/>
                <w:szCs w:val="18"/>
                <w:lang w:val="en-US" w:eastAsia="zh-CN" w:bidi="ar-SA"/>
              </w:rPr>
            </w:pPr>
            <w:r>
              <w:rPr>
                <w:rFonts w:ascii="宋体" w:hAnsi="宋体"/>
                <w:color w:val="auto"/>
                <w:sz w:val="18"/>
                <w:szCs w:val="18"/>
              </w:rPr>
              <w:t>2%</w:t>
            </w:r>
          </w:p>
        </w:tc>
        <w:tc>
          <w:tcPr>
            <w:tcW w:w="0" w:type="auto"/>
            <w:vAlign w:val="center"/>
          </w:tcPr>
          <w:p>
            <w:pPr>
              <w:pStyle w:val="34"/>
              <w:jc w:val="center"/>
              <w:rPr>
                <w:rFonts w:hint="default" w:ascii="宋体" w:hAnsi="宋体" w:eastAsia="宋体" w:cs="Times New Roman"/>
                <w:color w:val="auto"/>
                <w:kern w:val="2"/>
                <w:sz w:val="18"/>
                <w:szCs w:val="18"/>
                <w:lang w:val="en-US" w:eastAsia="zh-CN" w:bidi="ar-SA"/>
              </w:rPr>
            </w:pPr>
            <w:r>
              <w:rPr>
                <w:rFonts w:hint="eastAsia" w:ascii="宋体" w:hAnsi="宋体"/>
                <w:color w:val="auto"/>
                <w:sz w:val="18"/>
                <w:szCs w:val="18"/>
              </w:rPr>
              <w:t>每年一次</w:t>
            </w:r>
          </w:p>
        </w:tc>
        <w:tc>
          <w:tcPr>
            <w:tcW w:w="0" w:type="auto"/>
            <w:vAlign w:val="center"/>
          </w:tcPr>
          <w:p>
            <w:pPr>
              <w:pStyle w:val="34"/>
              <w:jc w:val="center"/>
              <w:rPr>
                <w:rFonts w:hint="default" w:ascii="宋体" w:hAnsi="宋体" w:eastAsia="宋体" w:cs="Times New Roman"/>
                <w:color w:val="auto"/>
                <w:kern w:val="2"/>
                <w:sz w:val="18"/>
                <w:szCs w:val="18"/>
                <w:lang w:val="en-US" w:eastAsia="zh-CN" w:bidi="ar-SA"/>
              </w:rPr>
            </w:pPr>
            <w:r>
              <w:rPr>
                <w:rFonts w:hint="eastAsia" w:ascii="宋体" w:hAnsi="宋体"/>
                <w:color w:val="auto"/>
                <w:sz w:val="18"/>
                <w:szCs w:val="18"/>
                <w:lang w:eastAsia="zh-CN"/>
              </w:rPr>
              <w:t>实地核查</w:t>
            </w:r>
            <w:r>
              <w:rPr>
                <w:rFonts w:hint="eastAsia" w:ascii="宋体" w:hAnsi="宋体"/>
                <w:color w:val="auto"/>
                <w:sz w:val="18"/>
                <w:szCs w:val="18"/>
              </w:rPr>
              <w:t>、书面检查</w:t>
            </w:r>
          </w:p>
        </w:tc>
        <w:tc>
          <w:tcPr>
            <w:tcW w:w="0" w:type="auto"/>
            <w:vAlign w:val="center"/>
          </w:tcPr>
          <w:p>
            <w:pPr>
              <w:pStyle w:val="34"/>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县级以上粮食行政管理部门</w:t>
            </w:r>
          </w:p>
        </w:tc>
        <w:tc>
          <w:tcPr>
            <w:tcW w:w="0" w:type="auto"/>
            <w:vAlign w:val="center"/>
          </w:tcPr>
          <w:p>
            <w:pPr>
              <w:pStyle w:val="34"/>
              <w:jc w:val="center"/>
              <w:rPr>
                <w:rFonts w:hint="eastAsia" w:ascii="宋体" w:hAnsi="宋体"/>
                <w:sz w:val="18"/>
                <w:szCs w:val="18"/>
              </w:rPr>
            </w:pPr>
            <w:r>
              <w:rPr>
                <w:rFonts w:hint="eastAsia" w:ascii="宋体" w:hAnsi="宋体"/>
                <w:sz w:val="18"/>
                <w:szCs w:val="18"/>
              </w:rPr>
              <w:t>《粮食质量安全监管办法》</w:t>
            </w:r>
            <w:r>
              <w:rPr>
                <w:rFonts w:ascii="宋体" w:hAnsi="宋体"/>
                <w:sz w:val="18"/>
                <w:szCs w:val="18"/>
              </w:rPr>
              <w:t>(2016</w:t>
            </w:r>
            <w:r>
              <w:rPr>
                <w:rFonts w:hint="eastAsia" w:ascii="宋体" w:hAnsi="宋体"/>
                <w:sz w:val="18"/>
                <w:szCs w:val="18"/>
              </w:rPr>
              <w:t>年国家发展改革委令第</w:t>
            </w:r>
            <w:r>
              <w:rPr>
                <w:rFonts w:ascii="宋体" w:hAnsi="宋体"/>
                <w:sz w:val="18"/>
                <w:szCs w:val="18"/>
              </w:rPr>
              <w:t>42</w:t>
            </w:r>
            <w:r>
              <w:rPr>
                <w:rFonts w:hint="eastAsia" w:ascii="宋体" w:hAnsi="宋体"/>
                <w:sz w:val="18"/>
                <w:szCs w:val="18"/>
              </w:rPr>
              <w:t>号</w:t>
            </w:r>
            <w:r>
              <w:rPr>
                <w:rFonts w:ascii="宋体" w:hAnsi="宋体"/>
                <w:sz w:val="18"/>
                <w:szCs w:val="18"/>
              </w:rPr>
              <w:t>)</w:t>
            </w:r>
            <w:r>
              <w:rPr>
                <w:rFonts w:hint="eastAsia" w:ascii="宋体" w:hAnsi="宋体"/>
                <w:sz w:val="18"/>
                <w:szCs w:val="18"/>
              </w:rPr>
              <w:t>第三十六条</w:t>
            </w:r>
          </w:p>
          <w:p>
            <w:pPr>
              <w:pStyle w:val="34"/>
              <w:jc w:val="center"/>
              <w:rPr>
                <w:rFonts w:hint="eastAsia" w:ascii="宋体" w:hAnsi="宋体" w:eastAsia="宋体" w:cs="Times New Roman"/>
                <w:kern w:val="2"/>
                <w:sz w:val="18"/>
                <w:szCs w:val="18"/>
                <w:lang w:val="en-US" w:eastAsia="zh-CN" w:bidi="ar-SA"/>
              </w:rPr>
            </w:pPr>
          </w:p>
        </w:tc>
      </w:tr>
    </w:tbl>
    <w:p>
      <w:pPr>
        <w:pStyle w:val="2"/>
        <w:ind w:left="0" w:leftChars="0" w:firstLine="0" w:firstLineChars="0"/>
      </w:pPr>
    </w:p>
    <w:sectPr>
      <w:footerReference r:id="rId3" w:type="default"/>
      <w:pgSz w:w="16838" w:h="11906" w:orient="landscape"/>
      <w:pgMar w:top="1800" w:right="1440" w:bottom="1800" w:left="1440"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565E8"/>
    <w:rsid w:val="09F57601"/>
    <w:rsid w:val="0D47634C"/>
    <w:rsid w:val="12A3599E"/>
    <w:rsid w:val="18190AC2"/>
    <w:rsid w:val="1AB772D1"/>
    <w:rsid w:val="1D6C0B80"/>
    <w:rsid w:val="1DF92617"/>
    <w:rsid w:val="1EE60CF4"/>
    <w:rsid w:val="27362B2A"/>
    <w:rsid w:val="29D362F2"/>
    <w:rsid w:val="396D1460"/>
    <w:rsid w:val="3A30041B"/>
    <w:rsid w:val="42EE7D28"/>
    <w:rsid w:val="46D2457D"/>
    <w:rsid w:val="47A878BB"/>
    <w:rsid w:val="4E657BF7"/>
    <w:rsid w:val="509D273B"/>
    <w:rsid w:val="587318F1"/>
    <w:rsid w:val="61D504B0"/>
    <w:rsid w:val="6A146F69"/>
    <w:rsid w:val="6A3B2E20"/>
    <w:rsid w:val="758623D8"/>
    <w:rsid w:val="76AD6630"/>
    <w:rsid w:val="79000045"/>
    <w:rsid w:val="7DD11CC0"/>
    <w:rsid w:val="7E6466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topLinePunct/>
      <w:ind w:firstLine="560" w:firstLineChars="200"/>
    </w:pPr>
    <w:rPr>
      <w:rFonts w:ascii="宋体" w:hAnsi="宋体"/>
      <w:sz w:val="2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仿宋_GB2312" w:cs="Times New Roman"/>
      <w:kern w:val="2"/>
      <w:sz w:val="32"/>
      <w:szCs w:val="24"/>
      <w:lang w:val="en-US" w:eastAsia="zh-CN" w:bidi="ar-SA"/>
    </w:rPr>
  </w:style>
  <w:style w:type="paragraph" w:customStyle="1" w:styleId="9">
    <w:name w:val="正文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10">
    <w:name w:val="正文 New New"/>
    <w:qFormat/>
    <w:uiPriority w:val="0"/>
    <w:pPr>
      <w:widowControl w:val="0"/>
      <w:jc w:val="both"/>
    </w:pPr>
    <w:rPr>
      <w:rFonts w:ascii="等线" w:hAnsi="等线" w:eastAsia="等线" w:cs="Times New Roman"/>
      <w:kern w:val="2"/>
      <w:sz w:val="21"/>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仿宋_GB2312" w:cs="Times New Roman"/>
      <w:kern w:val="2"/>
      <w:sz w:val="32"/>
      <w:szCs w:val="24"/>
      <w:lang w:val="en-US" w:eastAsia="zh-CN" w:bidi="ar-SA"/>
    </w:rPr>
  </w:style>
  <w:style w:type="paragraph" w:customStyle="1" w:styleId="12">
    <w:name w:val="正文 New New New"/>
    <w:qFormat/>
    <w:uiPriority w:val="0"/>
    <w:pPr>
      <w:widowControl w:val="0"/>
      <w:jc w:val="both"/>
    </w:pPr>
    <w:rPr>
      <w:rFonts w:ascii="等线" w:hAnsi="等线" w:eastAsia="等线" w:cs="Times New Roman"/>
      <w:kern w:val="2"/>
      <w:sz w:val="21"/>
      <w:lang w:val="en-US" w:eastAsia="zh-CN" w:bidi="ar-SA"/>
    </w:rPr>
  </w:style>
  <w:style w:type="paragraph" w:customStyle="1" w:styleId="13">
    <w:name w:val="正文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17">
    <w:name w:val="正文 New New New New"/>
    <w:qFormat/>
    <w:uiPriority w:val="0"/>
    <w:pPr>
      <w:widowControl w:val="0"/>
      <w:jc w:val="both"/>
    </w:pPr>
    <w:rPr>
      <w:rFonts w:ascii="等线" w:hAnsi="等线" w:eastAsia="仿宋_GB2312" w:cs="Times New Roman"/>
      <w:sz w:val="32"/>
      <w:szCs w:val="24"/>
      <w:lang w:val="en-US" w:eastAsia="zh-CN" w:bidi="ar-SA"/>
    </w:rPr>
  </w:style>
  <w:style w:type="paragraph" w:customStyle="1" w:styleId="18">
    <w:name w:val="正文 New New New New New New New New New New New New New New"/>
    <w:qFormat/>
    <w:uiPriority w:val="0"/>
    <w:pPr>
      <w:widowControl w:val="0"/>
      <w:jc w:val="both"/>
    </w:pPr>
    <w:rPr>
      <w:rFonts w:ascii="等线" w:hAnsi="等线" w:eastAsia="仿宋_GB2312" w:cs="Times New Roman"/>
      <w:kern w:val="2"/>
      <w:sz w:val="32"/>
      <w:szCs w:val="24"/>
      <w:lang w:val="en-US" w:eastAsia="zh-CN" w:bidi="ar-SA"/>
    </w:rPr>
  </w:style>
  <w:style w:type="paragraph" w:customStyle="1" w:styleId="19">
    <w:name w:val="正文 New New New New New New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20">
    <w:name w:val="正文 New New New New New New New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21">
    <w:name w:val="正文 New New New New New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22">
    <w:name w:val="正文 New New New New New New New New New New New New New New New New New New New New"/>
    <w:qFormat/>
    <w:uiPriority w:val="0"/>
    <w:pPr>
      <w:widowControl w:val="0"/>
      <w:jc w:val="both"/>
    </w:pPr>
    <w:rPr>
      <w:rFonts w:ascii="等线" w:hAnsi="等线" w:eastAsia="仿宋_GB2312" w:cs="Times New Roman"/>
      <w:kern w:val="2"/>
      <w:sz w:val="32"/>
      <w:szCs w:val="24"/>
      <w:lang w:val="en-US" w:eastAsia="zh-CN" w:bidi="ar-SA"/>
    </w:rPr>
  </w:style>
  <w:style w:type="paragraph" w:customStyle="1" w:styleId="23">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24">
    <w:name w:val="正文 New New New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25">
    <w:name w:val="正文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2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仿宋_GB2312" w:cs="Times New Roman"/>
      <w:kern w:val="2"/>
      <w:sz w:val="32"/>
      <w:szCs w:val="24"/>
      <w:lang w:val="en-US" w:eastAsia="zh-CN" w:bidi="ar-SA"/>
    </w:rPr>
  </w:style>
  <w:style w:type="paragraph" w:customStyle="1" w:styleId="2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2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仿宋_GB2312" w:cs="Times New Roman"/>
      <w:kern w:val="2"/>
      <w:sz w:val="32"/>
      <w:szCs w:val="24"/>
      <w:lang w:val="en-US" w:eastAsia="zh-CN" w:bidi="ar-SA"/>
    </w:rPr>
  </w:style>
  <w:style w:type="paragraph" w:customStyle="1" w:styleId="2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仿宋_GB2312" w:cs="Times New Roman"/>
      <w:kern w:val="2"/>
      <w:sz w:val="32"/>
      <w:szCs w:val="24"/>
      <w:lang w:val="en-US" w:eastAsia="zh-CN" w:bidi="ar-SA"/>
    </w:rPr>
  </w:style>
  <w:style w:type="paragraph" w:customStyle="1" w:styleId="30">
    <w:name w:val="正文 New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3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3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3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34">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9075</Words>
  <Characters>9203</Characters>
  <Lines>0</Lines>
  <Paragraphs>0</Paragraphs>
  <TotalTime>8</TotalTime>
  <ScaleCrop>false</ScaleCrop>
  <LinksUpToDate>false</LinksUpToDate>
  <CharactersWithSpaces>9251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李智辉</cp:lastModifiedBy>
  <dcterms:modified xsi:type="dcterms:W3CDTF">2023-08-15T02:20:49Z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BCA508D4EA994AFE8D5D9C7E670D9B4A</vt:lpwstr>
  </property>
</Properties>
</file>