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08"/>
        <w:gridCol w:w="922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广州市白云区预留城乡建设用地规模使用地块基本情况表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土地利用现状用途</w:t>
            </w:r>
          </w:p>
        </w:tc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落实前土地规划用途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/>
              </w:rPr>
              <w:t>行政村</w:t>
            </w:r>
            <w:r>
              <w:rPr>
                <w:rStyle w:val="7"/>
                <w:rFonts w:hint="eastAsia"/>
                <w:lang w:eastAsia="zh-CN"/>
              </w:rPr>
              <w:t>（社区）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eastAsia"/>
                <w:lang w:eastAsia="zh-CN"/>
              </w:rPr>
              <w:t>其中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其他土地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eastAsia"/>
                <w:lang w:eastAsia="zh-CN"/>
              </w:rPr>
              <w:t>其中</w:t>
            </w:r>
            <w:r>
              <w:rPr>
                <w:rStyle w:val="7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6.9606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登塘村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0.6416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3.4869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3.5190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3.4416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1.1044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登塘村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1.0545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0.0499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1.1044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0.0160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登塘村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0.0152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0.0146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登塘村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0.0145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0.0146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登塘村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0.0155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钟落潭镇、九佛街道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登塘村、穗北社区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0.0150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0.0155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0.0981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登塘村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0.0981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0.0981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0.0356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钟落潭镇、九佛街道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登塘村、穗北社区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0.0176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0.0099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0.0356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8.2459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1.7306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3.0203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3.4950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4.8043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3.4416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lmNzVmYTM4MTM0MWNkZjdjNTM3NThhNWZiZmViYzI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041C114C"/>
    <w:rsid w:val="0E17776E"/>
    <w:rsid w:val="12324ADB"/>
    <w:rsid w:val="1D2376B5"/>
    <w:rsid w:val="23A578E2"/>
    <w:rsid w:val="2D580757"/>
    <w:rsid w:val="3B717D7E"/>
    <w:rsid w:val="3C61067D"/>
    <w:rsid w:val="41A6108A"/>
    <w:rsid w:val="4E802F63"/>
    <w:rsid w:val="51FD16F6"/>
    <w:rsid w:val="5888724A"/>
    <w:rsid w:val="593F7AD7"/>
    <w:rsid w:val="5B073DE6"/>
    <w:rsid w:val="60366F66"/>
    <w:rsid w:val="62BE26FB"/>
    <w:rsid w:val="700C60E3"/>
    <w:rsid w:val="716B764B"/>
    <w:rsid w:val="7A3B24E3"/>
    <w:rsid w:val="7F4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7">
    <w:name w:val="font31"/>
    <w:basedOn w:val="5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1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212</Words>
  <Characters>408</Characters>
  <Lines>2</Lines>
  <Paragraphs>1</Paragraphs>
  <TotalTime>6</TotalTime>
  <ScaleCrop>false</ScaleCrop>
  <LinksUpToDate>false</LinksUpToDate>
  <CharactersWithSpaces>408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栾玉蓉</cp:lastModifiedBy>
  <cp:lastPrinted>2022-09-02T13:20:00Z</cp:lastPrinted>
  <dcterms:modified xsi:type="dcterms:W3CDTF">2023-07-07T11:34:56Z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71BEA58589A64005BF198AAD04D914FC</vt:lpwstr>
  </property>
</Properties>
</file>