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一</w:t>
      </w:r>
      <w:r>
        <w:rPr>
          <w:rFonts w:hint="eastAsia" w:ascii="仿宋_GB2312" w:hAnsi="宋体" w:eastAsia="仿宋_GB2312"/>
          <w:b/>
          <w:sz w:val="24"/>
          <w:lang w:eastAsia="zh-CN"/>
        </w:rPr>
        <w:t>）</w:t>
      </w:r>
      <w:r>
        <w:rPr>
          <w:rFonts w:hint="eastAsia" w:ascii="仿宋_GB2312" w:hAnsi="宋体" w:eastAsia="仿宋_GB2312"/>
          <w:b/>
          <w:sz w:val="24"/>
        </w:rPr>
        <w:t>综合评分权重</w:t>
      </w:r>
    </w:p>
    <w:tbl>
      <w:tblPr>
        <w:tblStyle w:val="4"/>
        <w:tblpPr w:leftFromText="180" w:rightFromText="180" w:vertAnchor="text" w:horzAnchor="page" w:tblpX="1830" w:tblpY="440"/>
        <w:tblOverlap w:val="never"/>
        <w:tblW w:w="8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866"/>
        <w:gridCol w:w="2114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hanging="1687" w:hangingChars="700"/>
              <w:jc w:val="center"/>
              <w:rPr>
                <w:rFonts w:ascii="仿宋_GB2312" w:hAnsi="宋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2"/>
                <w:sz w:val="24"/>
                <w:szCs w:val="24"/>
              </w:rPr>
              <w:t>评分项目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hanging="1687" w:hangingChars="700"/>
              <w:jc w:val="center"/>
              <w:rPr>
                <w:rFonts w:ascii="仿宋_GB2312" w:hAnsi="宋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服务</w:t>
            </w:r>
            <w:r>
              <w:rPr>
                <w:rFonts w:hint="eastAsia" w:ascii="仿宋_GB2312" w:hAnsi="宋体" w:eastAsia="仿宋_GB2312"/>
                <w:b/>
                <w:bCs/>
                <w:kern w:val="2"/>
                <w:sz w:val="24"/>
                <w:szCs w:val="24"/>
              </w:rPr>
              <w:t>评分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hanging="1687" w:hangingChars="700"/>
              <w:jc w:val="center"/>
              <w:rPr>
                <w:rFonts w:ascii="仿宋_GB2312" w:hAnsi="Calibri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2"/>
                <w:sz w:val="24"/>
                <w:szCs w:val="24"/>
              </w:rPr>
              <w:t>商务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评分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hanging="1687" w:hangingChars="700"/>
              <w:jc w:val="center"/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综合诚信评价得分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1434" w:leftChars="0" w:hanging="1434" w:hangingChars="595"/>
              <w:jc w:val="center"/>
              <w:rPr>
                <w:rFonts w:ascii="仿宋_GB2312" w:hAnsi="Calibri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分值</w:t>
            </w:r>
          </w:p>
        </w:tc>
        <w:tc>
          <w:tcPr>
            <w:tcW w:w="1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1376" w:leftChars="0" w:hanging="1376" w:hangingChars="571"/>
              <w:jc w:val="center"/>
              <w:rPr>
                <w:rFonts w:ascii="仿宋_GB2312" w:hAnsi="宋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分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1376" w:leftChars="0" w:hanging="1376" w:hangingChars="571"/>
              <w:jc w:val="center"/>
              <w:rPr>
                <w:rFonts w:ascii="仿宋_GB2312" w:hAnsi="宋体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分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hanging="1687" w:hangingChars="700"/>
              <w:jc w:val="center"/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/>
                <w:b/>
                <w:bCs/>
                <w:kern w:val="2"/>
                <w:sz w:val="24"/>
                <w:szCs w:val="24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二</w:t>
      </w:r>
      <w:r>
        <w:rPr>
          <w:rFonts w:hint="eastAsia" w:ascii="仿宋_GB2312" w:hAnsi="宋体" w:eastAsia="仿宋_GB2312"/>
          <w:b/>
          <w:sz w:val="24"/>
          <w:lang w:eastAsia="zh-CN"/>
        </w:rPr>
        <w:t>）</w:t>
      </w:r>
      <w:r>
        <w:rPr>
          <w:rFonts w:hint="eastAsia" w:ascii="仿宋_GB2312" w:hAnsi="宋体" w:eastAsia="仿宋_GB2312"/>
          <w:b/>
          <w:sz w:val="24"/>
        </w:rPr>
        <w:t>服务评分表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120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分值（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62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评审内容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对采购人需求的响应程度（投标服务方案）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优：(90%≤得分≤100%)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总体服务模式科学合理，亮点多，针对性强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，对比最优；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良：(70%≤得分＜90%)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总体服务模式有一定特点，亮点少，针对性不强，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对比次之；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总体服务模式无特点，无针对性，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对比一般；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差：(得分＜40%)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总体服务模式不合理，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对比最差。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服务工作目标及管理方案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优：(90%≤得分≤100%)</w:t>
            </w:r>
            <w:r>
              <w:rPr>
                <w:rFonts w:hint="eastAsia" w:ascii="仿宋_GB2312" w:eastAsia="仿宋_GB2312"/>
                <w:sz w:val="24"/>
                <w:szCs w:val="24"/>
              </w:rPr>
              <w:t>方案合理，内容详细，熟悉采购人内部管理要求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，对比最优；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良：(70%≤得分＜90%)</w:t>
            </w:r>
            <w:r>
              <w:rPr>
                <w:rFonts w:hint="eastAsia" w:ascii="仿宋_GB2312" w:eastAsia="仿宋_GB2312"/>
                <w:sz w:val="24"/>
                <w:szCs w:val="24"/>
              </w:rPr>
              <w:t>方案合理、内容详细，了解采购人需求，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对比次之；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</w:t>
            </w:r>
            <w:r>
              <w:rPr>
                <w:rFonts w:hint="eastAsia" w:ascii="仿宋_GB2312" w:eastAsia="仿宋_GB2312"/>
                <w:sz w:val="24"/>
                <w:szCs w:val="24"/>
              </w:rPr>
              <w:t>方案比较合理，内容较详细，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对比一般；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差：(得分＜40%)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方案不合理，不能满足采购人实际需求，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对比最差。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机构设立、运作流程、管理计划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优：(90%≤得分≤100%)对比最优；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良：(70%≤得分＜90%)对比次之；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中：(40%≤得分＜70%)对比一般；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差：(得分＜40%)对比最差。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</w:t>
            </w:r>
            <w:r>
              <w:rPr>
                <w:rFonts w:ascii="仿宋_GB2312" w:hAnsi="宋体" w:eastAsia="仿宋_GB2312"/>
                <w:sz w:val="24"/>
                <w:szCs w:val="24"/>
              </w:rPr>
              <w:t>人员培训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及</w:t>
            </w:r>
            <w:r>
              <w:rPr>
                <w:rFonts w:ascii="仿宋_GB2312" w:hAnsi="宋体" w:eastAsia="仿宋_GB2312"/>
                <w:sz w:val="24"/>
                <w:szCs w:val="24"/>
              </w:rPr>
              <w:t>管理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优：(90%≤得分≤100%)工作人员培训及管理合理可行，对比最优；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良：(70%≤得分＜90%)对比次之；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中：(40%≤得分＜70%)对比一般；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差：(得分＜40%)对比最差。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质量保证体系及措施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优：(90%≤得分≤100%)体系完整，配套措施完善，对比最优；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良：(70%≤得分＜90%)对比次之；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中：(40%≤得分＜70%)对比一般；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差：(得分＜40%)对比最差。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项目主管</w:t>
            </w:r>
            <w:r>
              <w:rPr>
                <w:rFonts w:hint="eastAsia" w:ascii="仿宋_GB2312" w:eastAsia="仿宋_GB2312"/>
                <w:sz w:val="24"/>
                <w:szCs w:val="24"/>
              </w:rPr>
              <w:t>的资质和经验</w:t>
            </w:r>
          </w:p>
        </w:tc>
        <w:tc>
          <w:tcPr>
            <w:tcW w:w="5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优：(90%≤得分≤100%)</w:t>
            </w:r>
            <w:r>
              <w:rPr>
                <w:rFonts w:hint="eastAsia" w:ascii="仿宋_GB2312" w:eastAsia="仿宋_GB2312"/>
                <w:sz w:val="24"/>
                <w:szCs w:val="24"/>
              </w:rPr>
              <w:t>上岗证、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健康证、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学历、职称、相关工作经验等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对比最优；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良：(70%≤得分＜90%)对比次之；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中：(40%≤得分＜70%)对比一般；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差：(得分＜40%)对比最差。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rPr>
          <w:rFonts w:hint="eastAsia" w:ascii="仿宋_GB2312" w:hAnsi="宋体" w:eastAsia="仿宋_GB2312"/>
          <w:b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三</w:t>
      </w:r>
      <w:r>
        <w:rPr>
          <w:rFonts w:hint="eastAsia" w:ascii="仿宋_GB2312" w:hAnsi="宋体" w:eastAsia="仿宋_GB2312"/>
          <w:b/>
          <w:sz w:val="24"/>
          <w:lang w:eastAsia="zh-CN"/>
        </w:rPr>
        <w:t>）</w:t>
      </w:r>
      <w:r>
        <w:rPr>
          <w:rFonts w:hint="eastAsia" w:ascii="仿宋_GB2312" w:hAnsi="宋体" w:eastAsia="仿宋_GB2312"/>
          <w:b/>
          <w:sz w:val="24"/>
        </w:rPr>
        <w:t>商务评分表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397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分值（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>30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评审内容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同类项目经验：依据</w:t>
            </w:r>
            <w:r>
              <w:rPr>
                <w:rFonts w:hint="eastAsia" w:ascii="仿宋_GB2312" w:eastAsia="仿宋_GB2312"/>
                <w:color w:val="0000FF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年以来完成的同类项目合同或验收报告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对完成项目与本项目类型相近度及金额大小进行对比。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优：(90%≤得分≤100%)对比最优；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良：(70%≤得分＜90%)对比次之；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中：(40%≤得分＜70%)对比一般；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差：(得分＜40%)对比最差。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履约能力、财务状况（依据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年度财务报表）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优：(90%≤得分≤100%)对比最优；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良：(70%≤得分＜90%)对比次之；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中：(40%≤得分＜70%)对比一般；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差：(得分＜40%)对比最差。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/>
              <w:jc w:val="center"/>
              <w:rPr>
                <w:rFonts w:ascii="仿宋_GB2312" w:hAnsi="Calibri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2"/>
                <w:sz w:val="24"/>
                <w:szCs w:val="22"/>
                <w:lang w:val="en-US" w:eastAsia="zh-CN"/>
              </w:rPr>
              <w:t>在有效期内的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/>
              </w:rPr>
              <w:t>质量管理体系、环境管理体系、职业健康安全管理体系认证情况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每具有一项得1分，最高得3分；无：0分。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/>
              <w:jc w:val="center"/>
              <w:rPr>
                <w:rFonts w:ascii="仿宋_GB2312" w:hAnsi="Calibri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/>
              </w:rPr>
              <w:t>客户评价（依据《</w:t>
            </w:r>
            <w:r>
              <w:rPr>
                <w:rFonts w:hint="eastAsia" w:ascii="仿宋_GB2312" w:hAnsi="Calibri" w:eastAsia="仿宋_GB2312"/>
                <w:kern w:val="2"/>
                <w:sz w:val="24"/>
                <w:szCs w:val="24"/>
                <w:lang w:val="en-US" w:eastAsia="zh-CN"/>
              </w:rPr>
              <w:t>业绩一览表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/>
              </w:rPr>
              <w:t>》中的业主评价）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优：(90%≤得分≤100%)对比最优；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良：(70%≤得分＜90%)对比次之；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中：(40%≤得分＜70%)对比一般；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差：(得分＜40%)对比最差。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firstLine="0"/>
              <w:jc w:val="center"/>
              <w:rPr>
                <w:rFonts w:ascii="仿宋_GB2312" w:hAnsi="宋体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获得国家有关部门或行业协会颁发的资质等级或奖项</w:t>
            </w:r>
          </w:p>
        </w:tc>
        <w:tc>
          <w:tcPr>
            <w:tcW w:w="4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优：(90%≤得分≤100%)对比最优；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良：(70%≤得分＜90%)对比次之；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中：(40%≤得分＜70%)对比一般；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rPr>
                <w:rFonts w:ascii="仿宋_GB2312" w:hAnsi="宋体" w:eastAsia="仿宋_GB2312" w:cs="Arial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差：(得分＜40%)对比最差。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rPr>
          <w:rFonts w:hint="eastAsia" w:ascii="仿宋_GB2312" w:hAnsi="宋体" w:eastAsia="仿宋_GB2312"/>
          <w:b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rPr>
          <w:rFonts w:hint="eastAsia" w:ascii="仿宋_GB2312" w:hAnsi="宋体" w:eastAsia="仿宋_GB2312"/>
          <w:b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Chars="0"/>
        <w:jc w:val="both"/>
        <w:rPr>
          <w:rFonts w:hint="eastAsia" w:ascii="仿宋_GB2312" w:hAnsi="宋体" w:eastAsia="仿宋_GB2312"/>
          <w:b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4"/>
          <w:lang w:eastAsia="zh-CN"/>
        </w:rPr>
        <w:t>（</w:t>
      </w:r>
      <w:r>
        <w:rPr>
          <w:rFonts w:hint="eastAsia" w:ascii="仿宋_GB2312" w:hAnsi="宋体" w:eastAsia="仿宋_GB2312"/>
          <w:b/>
          <w:sz w:val="24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24"/>
          <w:lang w:eastAsia="zh-CN"/>
        </w:rPr>
        <w:t>）</w:t>
      </w:r>
      <w:r>
        <w:rPr>
          <w:rFonts w:hint="eastAsia" w:ascii="仿宋_GB2312" w:hAnsi="宋体" w:eastAsia="仿宋_GB2312"/>
          <w:b/>
          <w:sz w:val="24"/>
        </w:rPr>
        <w:t>综合诚信评价得分评审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firstLine="480" w:firstLineChars="200"/>
      </w:pPr>
      <w:r>
        <w:rPr>
          <w:rFonts w:hint="eastAsia" w:ascii="仿宋_GB2312" w:hAnsi="宋体" w:eastAsia="仿宋_GB2312"/>
          <w:bCs/>
          <w:kern w:val="2"/>
          <w:sz w:val="24"/>
          <w:szCs w:val="24"/>
        </w:rPr>
        <w:t>以“信用中国”（www.creditchina.gov.cn）网站为查询渠道，对列入企业经营异常名录的供应商每一条记录扣</w:t>
      </w:r>
      <w:r>
        <w:rPr>
          <w:rFonts w:hint="eastAsia" w:ascii="仿宋_GB2312" w:hAnsi="宋体" w:eastAsia="仿宋_GB2312"/>
          <w:bCs/>
          <w:kern w:val="2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bCs/>
          <w:kern w:val="2"/>
          <w:sz w:val="24"/>
          <w:szCs w:val="24"/>
        </w:rPr>
        <w:t>分，最高扣</w:t>
      </w:r>
      <w:r>
        <w:rPr>
          <w:rFonts w:hint="eastAsia" w:ascii="仿宋_GB2312" w:hAnsi="宋体" w:eastAsia="仿宋_GB2312"/>
          <w:bCs/>
          <w:kern w:val="2"/>
          <w:sz w:val="24"/>
          <w:szCs w:val="24"/>
          <w:lang w:val="en-US" w:eastAsia="zh-CN"/>
        </w:rPr>
        <w:t>6</w:t>
      </w:r>
      <w:r>
        <w:rPr>
          <w:rFonts w:hint="eastAsia" w:ascii="仿宋_GB2312" w:hAnsi="宋体" w:eastAsia="仿宋_GB2312"/>
          <w:bCs/>
          <w:kern w:val="2"/>
          <w:sz w:val="24"/>
          <w:szCs w:val="24"/>
        </w:rPr>
        <w:t>分；未列入则不扣分（如查询结果显示“没查到您要的信息”，视为未列入企业经营异常名录）。评审时评标委员会应将信用信息查询记录和证据截图存档。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25B4D"/>
    <w:rsid w:val="6EB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2023-08-28T09:14:00Z</dcterms:created>
  <dc:creator>区农业农村局</dc:creator>
  <cp:lastModifiedBy>区农业农村局</cp:lastModifiedBy>
  <dcterms:modified xsi:type="dcterms:W3CDTF">2023-08-28T09:15:04Z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