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pStyle w:val="5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白云区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征收农用地区片综合地价表</w:t>
      </w:r>
    </w:p>
    <w:tbl>
      <w:tblPr>
        <w:tblStyle w:val="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62"/>
        <w:gridCol w:w="878"/>
        <w:gridCol w:w="964"/>
        <w:gridCol w:w="993"/>
        <w:gridCol w:w="992"/>
        <w:gridCol w:w="992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区域</w:t>
            </w:r>
          </w:p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区片编号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区片综合地价（万元/亩）</w:t>
            </w:r>
          </w:p>
        </w:tc>
        <w:tc>
          <w:tcPr>
            <w:tcW w:w="75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区片范围描述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土地</w:t>
            </w:r>
          </w:p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补偿费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占比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安置</w:t>
            </w:r>
          </w:p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补助费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2"/>
                <w:szCs w:val="22"/>
              </w:rPr>
              <w:t>占比</w:t>
            </w:r>
          </w:p>
        </w:tc>
        <w:tc>
          <w:tcPr>
            <w:tcW w:w="7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 xml:space="preserve">42.00 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 xml:space="preserve">21.00 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>50%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 xml:space="preserve">21.00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>50%</w:t>
            </w:r>
          </w:p>
        </w:tc>
        <w:tc>
          <w:tcPr>
            <w:tcW w:w="75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三元里街道、景泰街道、云城街道、棠景街道、新市街道、同德街道、黄石街道、同和街道、京溪街道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 xml:space="preserve">39.00 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 xml:space="preserve">19.50 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>50%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 xml:space="preserve">19.50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>50%</w:t>
            </w:r>
          </w:p>
        </w:tc>
        <w:tc>
          <w:tcPr>
            <w:tcW w:w="75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石井街道、松洲街道、石门街道、鹤龙街道、金沙街道、白云湖街道、均禾街道、嘉禾街道、永平街道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 xml:space="preserve">26.00 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>50%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2"/>
                <w:szCs w:val="22"/>
              </w:rPr>
              <w:t>50%</w:t>
            </w:r>
          </w:p>
        </w:tc>
        <w:tc>
          <w:tcPr>
            <w:tcW w:w="75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人和镇、江高镇、原太和镇（已调整为太和镇、龙归街和大源街）、钟落潭镇</w:t>
            </w:r>
          </w:p>
        </w:tc>
      </w:tr>
    </w:tbl>
    <w:p>
      <w:pPr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注：1.全市不设定农用地地类调节系数；</w:t>
      </w:r>
    </w:p>
    <w:p>
      <w:pPr>
        <w:ind w:firstLine="440" w:firstLineChars="200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2.征收建设用地参照征收农用地区片综合地价执行；</w:t>
      </w:r>
    </w:p>
    <w:p>
      <w:pPr>
        <w:ind w:firstLine="44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22"/>
        </w:rPr>
        <w:t>3.征收未利用地参照征收农用地区片综合地价执行。</w:t>
      </w:r>
      <w:r>
        <w:rPr>
          <w:rFonts w:hint="eastAsia" w:ascii="仿宋" w:hAnsi="仿宋" w:eastAsia="仿宋" w:cs="仿宋"/>
          <w:sz w:val="22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587" w:right="1871" w:bottom="147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24141"/>
    <w:rsid w:val="065B5A88"/>
    <w:rsid w:val="16065F19"/>
    <w:rsid w:val="351940CC"/>
    <w:rsid w:val="431617A9"/>
    <w:rsid w:val="4FA7451F"/>
    <w:rsid w:val="56660544"/>
    <w:rsid w:val="5E024141"/>
    <w:rsid w:val="64D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100" w:afterLines="100"/>
      <w:outlineLvl w:val="0"/>
    </w:pPr>
    <w:rPr>
      <w:rFonts w:eastAsia="黑体"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式格式"/>
    <w:basedOn w:val="1"/>
    <w:qFormat/>
    <w:uiPriority w:val="0"/>
    <w:pPr>
      <w:spacing w:line="560" w:lineRule="exac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省社会科学界联合会</Company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2021-02-04T02:36:00Z</dcterms:created>
  <dc:creator>杨帆</dc:creator>
  <cp:lastModifiedBy>NTKO</cp:lastModifiedBy>
  <cp:lastPrinted>2023-09-25T03:50:59Z</cp:lastPrinted>
  <dcterms:modified xsi:type="dcterms:W3CDTF">2023-09-25T06:04:14Z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E120B5D7F8BF4B74B1BFF26E915BFD13</vt:lpwstr>
  </property>
</Properties>
</file>