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2022年度广州市白云区人民政府同和街道</w:t>
      </w:r>
    </w:p>
    <w:p>
      <w:pPr>
        <w:pStyle w:val="2"/>
        <w:bidi w:val="0"/>
        <w:ind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办事处部门整体支出绩效自评报告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</w:pPr>
      <w:bookmarkStart w:id="0" w:name="_Toc14634"/>
      <w:bookmarkStart w:id="1" w:name="_Toc19696"/>
      <w:bookmarkStart w:id="2" w:name="_Toc14504"/>
      <w:bookmarkStart w:id="3" w:name="_Toc17037"/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一、基本情况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25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部门概况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val="en-US" w:eastAsia="zh-CN"/>
        </w:rPr>
        <w:t xml:space="preserve"> </w:t>
      </w:r>
    </w:p>
    <w:p>
      <w:pPr>
        <w:spacing w:line="600" w:lineRule="exact"/>
        <w:ind w:firstLine="720" w:firstLineChars="22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广州市白云区人民政府同和街道办事处（汇总）单位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独立编制机构数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个，包括行政单位1个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事业单位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个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cs="Times New Roman"/>
          <w:szCs w:val="32"/>
        </w:rPr>
        <w:t xml:space="preserve">分别是：广州市白云区同和街道市政服务所、广州市白云区同和街道综合服务中心、广州市白云区同和街道退役军人服务站、广州市白云区同和街道综合保障中心。广州市白云区人民政府同和街道办事处（本级）内设机构8个，分别为党政综合办公室、党建工作办公室、纪检监察办公室、公共服务办公室、综合治理办公室、综合行政执法办公室、城市管理办公室、社区建设办公室。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225" w:right="0" w:rightChars="0" w:firstLine="0" w:firstLine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）年度总体工作和重点工作任务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highlight w:val="none"/>
        </w:rPr>
      </w:pPr>
      <w:r>
        <w:rPr>
          <w:rFonts w:hint="default" w:ascii="Times New Roman" w:hAnsi="Times New Roman" w:cs="Times New Roman"/>
        </w:rPr>
        <w:t>我部门深入</w:t>
      </w:r>
      <w:r>
        <w:rPr>
          <w:rFonts w:hint="default" w:ascii="Times New Roman" w:hAnsi="Times New Roman" w:cs="Times New Roman"/>
          <w:lang w:val="en-US" w:eastAsia="zh-CN"/>
        </w:rPr>
        <w:t>学习</w:t>
      </w:r>
      <w:r>
        <w:rPr>
          <w:rFonts w:hint="default" w:ascii="Times New Roman" w:hAnsi="Times New Roman" w:cs="Times New Roman"/>
        </w:rPr>
        <w:t>贯彻习近平总书记对广东系列重要讲话精神和重要指示批示精神，落实中央决策部署和省、市、区工作要求，坚定信心、迎难而上、真抓实干，从快从细、统筹推进疫情防控和经济社会发展各项工作，千方百计稳定经济社会发展基本盘，切实保障社会大局安全稳定，持续改善民生，努力使人民的获得感成色更足、幸福感更可持续、安全感更有保障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225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部门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整体收支情况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</w:rPr>
        <w:t>深入贯彻习近平新时代中国特色社会主义思想，严守党的政治纪律和政治规矩，全力维护社会公共安全，优化营商环境，突出环境品质提升，建设生态美丽同和，突出项目规划建设，推动区域空间升值，切实保障基本民生，大力推进民生实事，按要求完成各项工作任务。202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Cs w:val="32"/>
          <w:highlight w:val="none"/>
        </w:rPr>
        <w:t>年总体收入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Cs w:val="32"/>
          <w:highlight w:val="none"/>
        </w:rPr>
        <w:t>4,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lang w:val="en-US" w:eastAsia="zh-CN"/>
        </w:rPr>
        <w:t>998</w:t>
      </w:r>
      <w:r>
        <w:rPr>
          <w:rFonts w:hint="default" w:ascii="Times New Roman" w:hAnsi="Times New Roman" w:cs="Times New Roman"/>
          <w:color w:val="000000"/>
          <w:szCs w:val="32"/>
          <w:highlight w:val="none"/>
        </w:rPr>
        <w:t>.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lang w:val="en-US" w:eastAsia="zh-CN"/>
        </w:rPr>
        <w:t>75</w:t>
      </w:r>
      <w:r>
        <w:rPr>
          <w:rFonts w:hint="default" w:ascii="Times New Roman" w:hAnsi="Times New Roman" w:cs="Times New Roman"/>
          <w:color w:val="000000"/>
          <w:szCs w:val="32"/>
          <w:highlight w:val="none"/>
        </w:rPr>
        <w:t>万元，总体支出14,998.75万元，全年预算数 15,567.20万元，完成预算的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lang w:val="en-US" w:eastAsia="zh-CN"/>
        </w:rPr>
        <w:t>96.35</w:t>
      </w:r>
      <w:r>
        <w:rPr>
          <w:rFonts w:hint="default" w:ascii="Times New Roman" w:hAnsi="Times New Roman" w:cs="Times New Roman"/>
          <w:color w:val="000000"/>
          <w:szCs w:val="32"/>
          <w:highlight w:val="none"/>
        </w:rPr>
        <w:t>%</w:t>
      </w:r>
      <w:r>
        <w:rPr>
          <w:rFonts w:hint="default" w:ascii="Times New Roman" w:hAnsi="Times New Roman" w:cs="Times New Roman"/>
          <w:color w:val="000000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leftChars="225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（四）部门整体绩效管理情况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32"/>
          <w:highlight w:val="none"/>
        </w:rPr>
        <w:t>根据《广州市白云区预算绩效管理暂行办法》及《白云财政支出绩效评价方案》，认真落实全面实施预算绩效管理的意见，我部门组织对2022年度所有财政资金安排支出的项目开展绩效自评，认真落实绩效管理责任，强化各部门“花钱问效”的责任意识，不断提高财政资金使用效益，扎实推进预算绩效管理，加大财政监督检查力度，完善预算绩效指标体系，力求指标科学合理、细化量化、可比可测、动态调整、共建共享，提升绩效评价质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bookmarkStart w:id="4" w:name="_Toc13358"/>
      <w:bookmarkStart w:id="5" w:name="_Toc5238"/>
      <w:bookmarkStart w:id="6" w:name="_Toc2560"/>
      <w:bookmarkStart w:id="7" w:name="_Toc6706"/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二</w:t>
      </w:r>
      <w:r>
        <w:rPr>
          <w:rFonts w:hint="default" w:ascii="Times New Roman" w:hAnsi="Times New Roman" w:cs="Times New Roman"/>
          <w:color w:val="000000"/>
          <w:sz w:val="32"/>
          <w:highlight w:val="none"/>
        </w:rPr>
        <w:t>、</w:t>
      </w: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综合评价分析</w:t>
      </w:r>
      <w:bookmarkEnd w:id="4"/>
      <w:bookmarkEnd w:id="5"/>
      <w:bookmarkEnd w:id="6"/>
      <w:bookmarkEnd w:id="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  <w:lang w:eastAsia="zh-CN"/>
        </w:rPr>
      </w:pPr>
      <w:bookmarkStart w:id="8" w:name="_Toc1487"/>
      <w:bookmarkStart w:id="9" w:name="_Toc26520"/>
      <w:bookmarkStart w:id="10" w:name="_Toc7453"/>
      <w:bookmarkStart w:id="11" w:name="_Toc8786"/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  <w:lang w:eastAsia="zh-CN"/>
        </w:rPr>
        <w:t>一</w:t>
      </w:r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/>
          <w:color w:val="000000"/>
          <w:kern w:val="44"/>
          <w:sz w:val="32"/>
          <w:highlight w:val="none"/>
          <w:lang w:eastAsia="zh-CN"/>
        </w:rPr>
        <w:t>自评结论综述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highlight w:val="none"/>
        </w:rPr>
        <w:t>我部门开展了整体支出绩效自评，自评分为</w:t>
      </w: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highlight w:val="none"/>
          <w:lang w:val="en-US" w:eastAsia="zh-CN"/>
        </w:rPr>
        <w:t>97.94</w:t>
      </w: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highlight w:val="none"/>
        </w:rPr>
        <w:t>分。</w:t>
      </w:r>
      <w:bookmarkEnd w:id="8"/>
      <w:bookmarkEnd w:id="9"/>
      <w:bookmarkEnd w:id="10"/>
      <w:bookmarkEnd w:id="11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3" w:firstLineChars="225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各项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  <w:lang w:eastAsia="zh-CN"/>
        </w:rPr>
        <w:t>工作任务</w:t>
      </w: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highlight w:val="none"/>
        </w:rPr>
        <w:t>绩效目标完成情况分析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highlight w:val="none"/>
        </w:rPr>
      </w:pPr>
      <w:r>
        <w:rPr>
          <w:rFonts w:hint="default" w:ascii="Times New Roman" w:hAnsi="Times New Roman" w:cs="Times New Roman"/>
        </w:rPr>
        <w:t>本部门对</w:t>
      </w:r>
      <w:r>
        <w:rPr>
          <w:rFonts w:hint="default" w:ascii="Times New Roman" w:hAnsi="Times New Roman" w:cs="Times New Roman"/>
          <w:lang w:val="en-US" w:eastAsia="zh-CN"/>
        </w:rPr>
        <w:t>156</w:t>
      </w:r>
      <w:r>
        <w:rPr>
          <w:rFonts w:hint="default" w:ascii="Times New Roman" w:hAnsi="Times New Roman" w:cs="Times New Roman"/>
        </w:rPr>
        <w:t>个项目开展了绩效自评，各项工作有序开展，基本完成了年初的预设目标。</w:t>
      </w:r>
    </w:p>
    <w:p>
      <w:pPr>
        <w:pStyle w:val="5"/>
        <w:spacing w:line="600" w:lineRule="exact"/>
        <w:ind w:firstLine="643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44"/>
          <w:sz w:val="32"/>
          <w:szCs w:val="32"/>
          <w:highlight w:val="none"/>
          <w:lang w:val="en-US" w:eastAsia="zh-CN" w:bidi="ar-SA"/>
        </w:rPr>
        <w:t>（三）主要工作成效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攻坚克难，经济发展奋力向前</w:t>
      </w:r>
    </w:p>
    <w:p>
      <w:pPr>
        <w:pStyle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经济运行调度有力。党工委、办事处定期调度，分析经济形势，明确发展思路，坚决落实“清、准、实、重、新、补”六字措施和“八个一”工作机制，狠抓经济发展。</w:t>
      </w:r>
      <w:r>
        <w:rPr>
          <w:rStyle w:val="11"/>
          <w:rFonts w:hint="default" w:ascii="Times New Roman" w:hAnsi="Times New Roman" w:cs="Times New Roman"/>
          <w:color w:val="auto"/>
          <w:highlight w:val="none"/>
        </w:rPr>
        <w:t>2022年GDP总量</w:t>
      </w:r>
      <w:r>
        <w:rPr>
          <w:rStyle w:val="11"/>
          <w:rFonts w:hint="default" w:ascii="Times New Roman" w:hAnsi="Times New Roman" w:cs="Times New Roman"/>
          <w:color w:val="auto"/>
          <w:highlight w:val="none"/>
          <w:lang w:val="en-US" w:eastAsia="zh-CN"/>
        </w:rPr>
        <w:t>完成</w:t>
      </w:r>
      <w:r>
        <w:rPr>
          <w:rStyle w:val="11"/>
          <w:rFonts w:hint="default" w:ascii="Times New Roman" w:hAnsi="Times New Roman" w:cs="Times New Roman"/>
          <w:color w:val="auto"/>
          <w:highlight w:val="none"/>
        </w:rPr>
        <w:t>88.52亿</w:t>
      </w:r>
      <w:r>
        <w:rPr>
          <w:rStyle w:val="11"/>
          <w:rFonts w:hint="default" w:ascii="Times New Roman" w:hAnsi="Times New Roman" w:cs="Times New Roman"/>
          <w:color w:val="auto"/>
          <w:highlight w:val="none"/>
          <w:lang w:val="en-US" w:eastAsia="zh-CN"/>
        </w:rPr>
        <w:t>元</w:t>
      </w:r>
      <w:r>
        <w:rPr>
          <w:rStyle w:val="11"/>
          <w:rFonts w:hint="default" w:ascii="Times New Roman" w:hAnsi="Times New Roman" w:cs="Times New Roman"/>
          <w:color w:val="auto"/>
          <w:highlight w:val="none"/>
        </w:rPr>
        <w:t>，同比下降4.4%</w:t>
      </w:r>
      <w:r>
        <w:rPr>
          <w:rStyle w:val="11"/>
          <w:rFonts w:hint="default" w:ascii="Times New Roman" w:hAnsi="Times New Roman" w:cs="Times New Roman"/>
          <w:color w:val="auto"/>
          <w:highlight w:val="none"/>
          <w:lang w:eastAsia="zh-CN"/>
        </w:rPr>
        <w:t>，</w:t>
      </w:r>
      <w:r>
        <w:rPr>
          <w:rStyle w:val="11"/>
          <w:rFonts w:hint="default" w:ascii="Times New Roman" w:hAnsi="Times New Roman" w:cs="Times New Roman"/>
          <w:color w:val="auto"/>
          <w:highlight w:val="none"/>
          <w:lang w:val="en-US" w:eastAsia="zh-CN"/>
        </w:rPr>
        <w:t>增速排名全区第14</w:t>
      </w:r>
      <w:r>
        <w:rPr>
          <w:rStyle w:val="11"/>
          <w:rFonts w:hint="default" w:ascii="Times New Roman" w:hAnsi="Times New Roman" w:cs="Times New Roman"/>
          <w:color w:val="auto"/>
          <w:highlight w:val="none"/>
        </w:rPr>
        <w:t>；全年完成财政收入36534万元，同比下降3.9%</w:t>
      </w:r>
      <w:r>
        <w:rPr>
          <w:rStyle w:val="11"/>
          <w:rFonts w:hint="default" w:ascii="Times New Roman" w:hAnsi="Times New Roman" w:cs="Times New Roman"/>
          <w:color w:val="auto"/>
          <w:highlight w:val="none"/>
          <w:lang w:eastAsia="zh-CN"/>
        </w:rPr>
        <w:t>，</w:t>
      </w:r>
      <w:r>
        <w:rPr>
          <w:rStyle w:val="11"/>
          <w:rFonts w:hint="default" w:ascii="Times New Roman" w:hAnsi="Times New Roman" w:cs="Times New Roman"/>
          <w:color w:val="auto"/>
          <w:highlight w:val="none"/>
          <w:lang w:val="en-US" w:eastAsia="zh-CN"/>
        </w:rPr>
        <w:t>税收占比90.9%，增速排名全区第10。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攻城拔寨项目完成投资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亿元，完成年度计划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135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%。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企业服务协调有力。强化落实领导班子成员挂钩联系重点企业工作制度，“点对点”“一对一”全覆盖走访“四上”重点企业263家次，协调解决企业招工难、贷款难、上门测核、水压不足等困难和需求10宗；对承租村社集体经营性物业的企业，协调减免4月份半月租金334.18万元；同和金铂广场在11月受疫情影响暂停堂食期间，为所有租户减免一半租金，共惠及196家业户；落实惠企政策，受理39个企业166名员工随迁子女入学申请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产业平台建设推进有力。南湖新潮文旅活力区谋划推动南湖26公顷地块有效开发利用，项目总投资65亿元，先行区南湖游乐园升级改造项目列入广州市2022年重点项目计划，目前，省旅控、珠江投资、超竞集团就合作地块进行洽谈，谋划做大电竞产业。广药·广州医药健康谷已完成概念规划，广州白云山医院正在谋划整合广药集团旧厂资源，扩充医院建设规模，建设与三甲医院相匹配大型综合医院；岭南中医药博物馆定位为国家二级博物馆和“5A标准景区”，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正在施工建设中，23年将完成主馆主体封顶建设。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目前建设用地已经交储，正在办理划拨手续，设计方案已完成，年底动工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。同和时尚商圈规模扩大，现有金铂、雄洲、合一等大型商业综合体5个，建筑面积13万平方米，经营业户超300家，其中四上企业35家，餐饮、零售、夜经济等氛围浓厚。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招商引资攻坚有力。紧抓招商项目谋划、高质量招商推介会筹备，走访重点企业76家，对接洽谈项目10宗，落地项目5宗，成功引入鲍师傅广东总部，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年5月已纳统，广东供应链总部“广州真励亥贸易有限公司”已实现营收1.5亿元。“七号私厨”首店广州合乐餐饮管理有限公司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年5月纳统。广东中旅交通发展有限公司总部正在办理证照手续，达产营收预计2亿元以上，税收预计500万以上。岭南中医药博物馆主馆（广州馆）及配套设施项目建设，项目总投资2.5亿元，已立项、备案。白云山制药总厂科技创新中心升级建设项目，总投资7880万元，2023年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8月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动工。广州白云山医药集团股份有限公司水蓄冷项目，总投资2987万元，项目已立项、备案，2023年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8月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动工。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坚守底线，城市治理现代化全面推进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党建引领城中村治理专项工作有序推进。抓紧抓实五个专项行动，扎实推进“摸底数、强组织、保安全”各项工作。全面组建联社“大党委”和经济社“大支部”，选配第一书记，建立村社干部“蓄才池”。配齐66名专职网格员，组成“1+1+N”共治力量1万余人，储备村社管控网格“堡垒力量”3300人。深化“五合一”专项行动，推进人、屋、车、场、网治理，累计排查出租屋10492栋次，161359套次。提升人屋纳管精细化管理，100%完成蓝牙门禁系统建设与更新，登记实有人口信息153204人，3158栋房屋设立楼栋长。建设高清摄像枪3769支，实现12个经济社路面全覆盖。深入开展维护政治安全九个专项行动，全力做好重大活动和敏感时期防护稳控工作。推进多元化解矛盾纠纷，受理矛盾纠纷260宗，成功调解258宗，成功率99.16%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安全生产坚决不放松。实行街道、联社、社区、小区（企业）四级联动责任制，检查各类生产经营单位4268家次、施工场地728家次、“三小场所”4398家次，巡查有林单位、林边企业174家次，发出责改指令书1398份，整改安全隐患4624处。常态化开展道路交通安全整治和电动车违规充电专项整治，在榕树头、斯文井等社区建设集中充电设施68个。强化房屋安全专项整治，排查高层建筑448栋次，老旧小区建筑375栋次，城中村村民自建房8565栋次，全力消除安全隐患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综合执法和整治扎实有效。加大违法建设巡查整治力度，累计清拆56宗违法建设，总面积5.06万平方米，超额完成年度清拆任务，完成率101.28%；整治六乱8746宗；打击非法行医、非法代孕56次；开展房地产中介服务机构整治工作94次；行政立案处罚327宗，罚没金额621231元。处理劳资纠纷1547宗，成功追讨工资款3965.13万元。开展打假、打私、查无、食品安全综合整治行动累计468次，查获涉假案件23宗，案值519万元。受理12345热线工单18461件，完成率100%，满意率92.69%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“三防”工作做好做实。严格落实“三防”责任制，强化24小时值班值守和领导带班制度。立足防大汛、抗大险、救大灾，加强工作巡查、监测和应急值守，全力做好城市道路、地质灾害点等20类公共区域易发高发隐患点的排查整治。严格执行突发险情灾情报告制度，落实抢险物资和应急队伍，充分做好强降雨和暴雨期间应急抢险的准备工作，确保汛期度汛安全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靶向发力，城市功能品质优化提升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交通枢纽持续推进。沙太路改造工程项目土地征收工作基本完成，施工单位进场施工。同宝路升级改造工程已完成村集体土地补偿协议签订，正在核对建构物及附着物。广州大道快捷化系统改造二期人行过街设施第一批已建成4座，第二批主体工程已完工，节点改造工程跨线桥建设正在施工，同步开展征拆补偿，主体工程年底通车。广州东至花都天贵城际铁路项目2号井征地工作基本完成，中铁十五局已进场施工。同大路已完成全面提升工程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城市品质大幅提升。推动土地集约利用，推进大源南路西侧地块南湖半岛东苑旁、金湖水库以南地块（富邦）、同泰路彩印厂地块、华南医疗器械厂地块收储。启动何屋社区容貌品质培育提升工程。同和北路9号大院微改造基本完工。税所宿舍微改造工程基本敲定改造方案。广州大道北同和段广告招牌整治顺利推进。河湖管养到位，水质持续改善，拆除河涌违法建设1000㎡，完成年度任务101%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环境卫生持续好转。城区保洁力度进一步加大，市政路16小时精细化、精准化保洁。垃圾分类抓常抓长，持续推进“家里分好类、栋长集中投、公交沿线收”城中村垃圾公交收运模式。“两网融合”网点和环卫驿站建设持续加强，已建成使用7处。“厕所革命”继续推进，倚绿、大陂西路两个公厕动工建设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精准服务，社会民生事业不断进步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民生保障更加有力。积极创建市级“五好”街镇公共卫生委员会试点创建工作，成立医疗志愿服务队，打造社区健康小屋“南方医院主动健康同和社区示范基地”，2205人参与签约服务，服务3010人次。为35名困境儿童建档，建成街未成年人保护工作站1个，开展关爱未成年人活动，发放事实无人抚养儿童基本生活保障金61776元。发放残疾人慰问金118000元，为7名儿童申请康复训练资助。落实“就业携行计划”，举行公益招聘会，进场招聘1033人。举办同和街西村窑特色实训课程，选拔20名失业人员参加。扎实做好双拥工作，抓好退役军人及优抚对象服务。办理公租房申请64宗、积分制申请2376人次，新登记来穗人员49759人，注销75144人。构建特殊人群心理健康服务网络，提供心理咨询471次，心理危机干预31次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文化自信不断增强。坚持文化体育惠民，举办“感受传统文化之美系列活动”等系列活动。依托社区文化阵地，开办集科技、教育、文化、娱乐、健身于一体的文化课堂，丰富群众文娱生活。深入开展全民阅读活动，举办“致爷爷奶奶的一封信”阅读照片征集和征文比赛，评选出100篇获奖作品。发掘同和故事，搜集、整理岁时风俗、文化艺术、历史人物、历史事件、历史建筑、名家名人等民间故事资源和线索，保护传承历史文化。活化利用文物场所，组织民间醒狮团队开展青少年公益培训，弘扬中华优秀传统文化，传承非物质文化遗传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坚定不移，党的领导和党的建设全面加强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党的领导核心作用充分发挥。充分发挥总揽全局、协调各方的作用，建立5个重点工作临时党支部，全覆盖成立社区大党委，向经济联合社党委、7个“两新”党组织、12个经济社党支部、3个网格党支部选派第一书记，推动各领域党建提质增效。成立89个网格党支部，全覆盖实行“驻点团队成员+社区干部”组合式挂点网格，组建128个党群服务队，发动4758下沉党员积极参与服务，不断激发党员的创新能力和工作积极性，在疫情防控、城市管理、社会治理、民生服务等方面充当主力军，肩负起教育群众、引导群众、动员群众、组织群众的责任。</w:t>
      </w:r>
    </w:p>
    <w:p>
      <w:pPr>
        <w:pStyle w:val="9"/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</w:rPr>
        <w:t>基层党的建设全面推进。把学习习近平新时代中国特色社会主义思想作为“三会一课”的“第一议题”，把警示教育作为支委会、党员大会必学内容，强化思想政治建设。全面落实整改任务，巩固整改成果。建强党组织班子，开展“两新”党组织第一书记见面会，建立完善常态化长效化考核管理机制。完善网格化党建机制，建立党员干部包联网格机制。74个基层党组织召开学习贯彻习近平总书记重要讲话精神、从严抓好疫情防控工作专题组织生活会。全覆盖开展基层党组织党员“三述”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全面从严治党深入推进。抓好疫情防控监督，纠治防疫责任和措施不落实等问题10宗。紧盯“关键少数”，强化对村社“一把手”履职用权、落实管党治党责任等监督检查。强化监察站履职能力，接待群众2489人次，走访877次，参与村（社区）重大会议296次，质询重大事项362次。保持惩治腐败高压态势，党纪立案6宗；办结2021年案件1宗，党内严重警告处分1人。运用监督执纪“四种形态”处理89人次，做好案件查办“后半篇文章”，常态化开展受处分干部的跟踪回访教育。</w:t>
      </w:r>
      <w:bookmarkStart w:id="12" w:name="_Toc26210"/>
      <w:bookmarkStart w:id="13" w:name="_Toc21266"/>
      <w:bookmarkStart w:id="14" w:name="_Toc10735"/>
      <w:bookmarkStart w:id="15" w:name="_Toc69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 w:val="32"/>
          <w:highlight w:val="none"/>
          <w:lang w:eastAsia="zh-CN"/>
        </w:rPr>
        <w:t>三</w:t>
      </w:r>
      <w:r>
        <w:rPr>
          <w:rFonts w:hint="default" w:ascii="Times New Roman" w:hAnsi="Times New Roman" w:cs="Times New Roman"/>
          <w:color w:val="000000"/>
          <w:sz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kern w:val="44"/>
          <w:sz w:val="32"/>
          <w:szCs w:val="44"/>
          <w:highlight w:val="none"/>
          <w:lang w:val="en-US" w:eastAsia="zh-CN" w:bidi="ar-SA"/>
        </w:rPr>
        <w:t>存在的主要问题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</w:rPr>
        <w:t>2022年度我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</w:rPr>
        <w:t>一般公共预算支出进度为96.35%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</w:rPr>
        <w:t>部分项目经费未能及时按进度支付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val="en-US" w:eastAsia="zh-CN"/>
        </w:rPr>
        <w:t>一是受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</w:rPr>
        <w:t>疫情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val="en-US" w:eastAsia="zh-CN"/>
        </w:rPr>
        <w:t>等因素影响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val="en-US" w:eastAsia="zh-CN"/>
        </w:rPr>
        <w:t>部分工作计划未能如期开展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 w:val="0"/>
          <w:color w:val="000000"/>
          <w:sz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个别项目资金支出进度较慢，影响整体预算执行进度。</w:t>
      </w:r>
      <w:bookmarkEnd w:id="12"/>
      <w:bookmarkEnd w:id="13"/>
      <w:bookmarkEnd w:id="14"/>
      <w:bookmarkEnd w:id="15"/>
      <w:bookmarkStart w:id="16" w:name="_GoBack"/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下一步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</w:rPr>
        <w:t>改进</w:t>
      </w:r>
      <w:r>
        <w:rPr>
          <w:rFonts w:hint="default" w:ascii="Times New Roman" w:hAnsi="Times New Roman" w:eastAsia="黑体" w:cs="Times New Roman"/>
          <w:color w:val="000000"/>
          <w:sz w:val="32"/>
          <w:highlight w:val="none"/>
          <w:lang w:eastAsia="zh-CN"/>
        </w:rPr>
        <w:t>措施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2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28"/>
          <w:szCs w:val="32"/>
          <w:highlight w:val="none"/>
        </w:rPr>
        <w:t>一是加强预算执行力度和绩效管理，强化预算约束力；二是定期梳理沉淀资金，及时进行调整和盘活无法执行的项目资金，发挥财政资金的使用效益；三是严格支出管理，实施绩效监控，开展绩效评价，提高资金的使用效益。</w:t>
      </w:r>
    </w:p>
    <w:p>
      <w:pPr>
        <w:pStyle w:val="6"/>
        <w:rPr>
          <w:rFonts w:hint="default" w:ascii="Times New Roman" w:hAnsi="Times New Roman" w:cs="Times New Roman"/>
          <w:color w:val="000000"/>
          <w:kern w:val="28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sectPr>
      <w:footerReference r:id="rId5" w:type="default"/>
      <w:pgSz w:w="11906" w:h="16838"/>
      <w:pgMar w:top="2098" w:right="1587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789F2"/>
    <w:multiLevelType w:val="singleLevel"/>
    <w:tmpl w:val="C1B789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FAAA7A"/>
    <w:multiLevelType w:val="singleLevel"/>
    <w:tmpl w:val="3BFAAA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comment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jgyZDY1Mjg0YjA2ZDQ5YmYxNDZlZmQ4NzNhOWMifQ=="/>
    <w:docVar w:name="KGWebUrl" w:val="http://10.14.160.8/newoa/missive/kinggridOfficeServer.do?method=officeProcess"/>
  </w:docVars>
  <w:rsids>
    <w:rsidRoot w:val="2B984800"/>
    <w:rsid w:val="00D51900"/>
    <w:rsid w:val="05E17CDC"/>
    <w:rsid w:val="06C72D90"/>
    <w:rsid w:val="08021F3B"/>
    <w:rsid w:val="0D171B07"/>
    <w:rsid w:val="11E4143E"/>
    <w:rsid w:val="15455599"/>
    <w:rsid w:val="18263CEB"/>
    <w:rsid w:val="1FE114A0"/>
    <w:rsid w:val="20964C98"/>
    <w:rsid w:val="23501EEE"/>
    <w:rsid w:val="24B465BC"/>
    <w:rsid w:val="267333E2"/>
    <w:rsid w:val="28563FBA"/>
    <w:rsid w:val="286D1121"/>
    <w:rsid w:val="29FA33F5"/>
    <w:rsid w:val="2B984800"/>
    <w:rsid w:val="2E510CFA"/>
    <w:rsid w:val="32AA191B"/>
    <w:rsid w:val="37F774ED"/>
    <w:rsid w:val="38125513"/>
    <w:rsid w:val="3B070A07"/>
    <w:rsid w:val="3D343881"/>
    <w:rsid w:val="3F6E7A6B"/>
    <w:rsid w:val="3F92579A"/>
    <w:rsid w:val="43797CE2"/>
    <w:rsid w:val="4BBE6DBA"/>
    <w:rsid w:val="50911140"/>
    <w:rsid w:val="53322C60"/>
    <w:rsid w:val="5ABA5A3D"/>
    <w:rsid w:val="5C346840"/>
    <w:rsid w:val="63AD188F"/>
    <w:rsid w:val="667129E1"/>
    <w:rsid w:val="690579AC"/>
    <w:rsid w:val="69FF9322"/>
    <w:rsid w:val="6AF797CC"/>
    <w:rsid w:val="6D3B762C"/>
    <w:rsid w:val="6E3AC4B7"/>
    <w:rsid w:val="6FA27465"/>
    <w:rsid w:val="797D6A38"/>
    <w:rsid w:val="7AEC85AA"/>
    <w:rsid w:val="7CB4EA9D"/>
    <w:rsid w:val="7F574D32"/>
    <w:rsid w:val="B7BF0230"/>
    <w:rsid w:val="BF344251"/>
    <w:rsid w:val="CBC7E0B2"/>
    <w:rsid w:val="CFF906F7"/>
    <w:rsid w:val="D76DEAAD"/>
    <w:rsid w:val="EEEFBB1A"/>
    <w:rsid w:val="FFCFF427"/>
    <w:rsid w:val="FFFF5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0"/>
      <w:outlineLvl w:val="0"/>
    </w:pPr>
    <w:rPr>
      <w:rFonts w:ascii="Times New Roman" w:hAnsi="Times New Roman" w:eastAsia="黑体" w:cs="Microsoft JhengHei"/>
      <w:bCs/>
      <w:szCs w:val="32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next w:val="1"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  <w:szCs w:val="32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customStyle="1" w:styleId="9">
    <w:name w:val="_Style 5"/>
    <w:basedOn w:val="1"/>
    <w:qFormat/>
    <w:uiPriority w:val="0"/>
    <w:pPr>
      <w:ind w:firstLine="200" w:firstLineChars="200"/>
    </w:pPr>
    <w:rPr>
      <w:rFonts w:cs="黑体"/>
      <w:sz w:val="24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fontstyle01"/>
    <w:basedOn w:val="8"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2022-02-17T23:50:00Z</dcterms:created>
  <dc:creator>凌海涛</dc:creator>
  <cp:lastModifiedBy>hp</cp:lastModifiedBy>
  <cp:lastPrinted>2023-10-16T09:34:00Z</cp:lastPrinted>
  <dcterms:modified xsi:type="dcterms:W3CDTF">2023-10-17T03:27:40Z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03E0F3E1F0064727AE4B8B63EDCE1480_13</vt:lpwstr>
  </property>
</Properties>
</file>