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Spec="center" w:tblpY="323"/>
        <w:tblOverlap w:val="never"/>
        <w:tblW w:w="10639" w:type="dxa"/>
        <w:jc w:val="center"/>
        <w:tblLayout w:type="fixed"/>
        <w:tblCellMar>
          <w:top w:w="0" w:type="dxa"/>
          <w:left w:w="0" w:type="dxa"/>
          <w:bottom w:w="0" w:type="dxa"/>
          <w:right w:w="0" w:type="dxa"/>
        </w:tblCellMar>
      </w:tblPr>
      <w:tblGrid>
        <w:gridCol w:w="694"/>
        <w:gridCol w:w="1605"/>
        <w:gridCol w:w="1020"/>
        <w:gridCol w:w="6198"/>
        <w:gridCol w:w="1122"/>
      </w:tblGrid>
      <w:tr>
        <w:tblPrEx>
          <w:tblCellMar>
            <w:top w:w="0" w:type="dxa"/>
            <w:left w:w="0" w:type="dxa"/>
            <w:bottom w:w="0" w:type="dxa"/>
            <w:right w:w="0" w:type="dxa"/>
          </w:tblCellMar>
        </w:tblPrEx>
        <w:trPr>
          <w:trHeight w:val="1181" w:hRule="atLeast"/>
          <w:jc w:val="center"/>
        </w:trPr>
        <w:tc>
          <w:tcPr>
            <w:tcW w:w="10639"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line="600" w:lineRule="exact"/>
              <w:jc w:val="center"/>
              <w:textAlignment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综合评分标准</w:t>
            </w:r>
          </w:p>
          <w:p>
            <w:pPr>
              <w:widowControl/>
              <w:spacing w:line="600" w:lineRule="exact"/>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投标单位名称：</w:t>
            </w:r>
          </w:p>
        </w:tc>
      </w:tr>
      <w:tr>
        <w:tblPrEx>
          <w:tblCellMar>
            <w:top w:w="0" w:type="dxa"/>
            <w:left w:w="0" w:type="dxa"/>
            <w:bottom w:w="0" w:type="dxa"/>
            <w:right w:w="0" w:type="dxa"/>
          </w:tblCellMar>
        </w:tblPrEx>
        <w:trPr>
          <w:trHeight w:val="328"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序号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评审项目</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分值</w:t>
            </w:r>
          </w:p>
        </w:tc>
        <w:tc>
          <w:tcPr>
            <w:tcW w:w="6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评分范围</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kern w:val="0"/>
                <w:sz w:val="24"/>
              </w:rPr>
            </w:pPr>
            <w:r>
              <w:rPr>
                <w:rFonts w:hint="eastAsia" w:ascii="仿宋" w:hAnsi="仿宋" w:eastAsia="仿宋" w:cs="仿宋"/>
                <w:b/>
                <w:color w:val="000000"/>
                <w:kern w:val="0"/>
                <w:sz w:val="24"/>
              </w:rPr>
              <w:t>得分</w:t>
            </w:r>
          </w:p>
        </w:tc>
      </w:tr>
      <w:tr>
        <w:tblPrEx>
          <w:tblCellMar>
            <w:top w:w="0" w:type="dxa"/>
            <w:left w:w="0" w:type="dxa"/>
            <w:bottom w:w="0" w:type="dxa"/>
            <w:right w:w="0" w:type="dxa"/>
          </w:tblCellMar>
        </w:tblPrEx>
        <w:trPr>
          <w:trHeight w:val="2451"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项目团队成员</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ascii="宋体" w:hAnsi="宋体" w:eastAsia="宋体" w:cs="宋体"/>
                <w:color w:val="000000"/>
                <w:kern w:val="0"/>
                <w:sz w:val="24"/>
              </w:rPr>
              <w:t>15</w:t>
            </w:r>
          </w:p>
        </w:tc>
        <w:tc>
          <w:tcPr>
            <w:tcW w:w="6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1.项目负责人具有注册会计师执业证书的得</w:t>
            </w:r>
            <w:r>
              <w:rPr>
                <w:rFonts w:ascii="宋体" w:hAnsi="宋体" w:eastAsia="宋体" w:cs="宋体"/>
                <w:color w:val="000000"/>
                <w:kern w:val="0"/>
                <w:sz w:val="24"/>
              </w:rPr>
              <w:t>6</w:t>
            </w:r>
            <w:r>
              <w:rPr>
                <w:rFonts w:hint="eastAsia" w:ascii="宋体" w:hAnsi="宋体" w:eastAsia="宋体" w:cs="宋体"/>
                <w:color w:val="000000"/>
                <w:kern w:val="0"/>
                <w:sz w:val="24"/>
              </w:rPr>
              <w:t>分；项；无得</w:t>
            </w:r>
            <w:r>
              <w:rPr>
                <w:rFonts w:ascii="宋体" w:hAnsi="宋体" w:eastAsia="宋体" w:cs="宋体"/>
                <w:color w:val="000000"/>
                <w:kern w:val="0"/>
                <w:sz w:val="24"/>
              </w:rPr>
              <w:t>0</w:t>
            </w:r>
            <w:r>
              <w:rPr>
                <w:rFonts w:hint="eastAsia" w:ascii="宋体" w:hAnsi="宋体" w:eastAsia="宋体" w:cs="宋体"/>
                <w:color w:val="000000"/>
                <w:kern w:val="0"/>
                <w:sz w:val="24"/>
              </w:rPr>
              <w:t>分。（提供人员相关证书及开标截止日前近三个月内的缴纳社保证明复印件）</w:t>
            </w:r>
            <w:r>
              <w:rPr>
                <w:rFonts w:ascii="宋体" w:hAnsi="宋体" w:eastAsia="宋体" w:cs="宋体"/>
                <w:color w:val="000000"/>
                <w:kern w:val="0"/>
                <w:sz w:val="24"/>
              </w:rPr>
              <w:t>--6</w:t>
            </w:r>
            <w:r>
              <w:rPr>
                <w:rFonts w:hint="eastAsia" w:ascii="宋体" w:hAnsi="宋体" w:eastAsia="宋体" w:cs="宋体"/>
                <w:color w:val="000000"/>
                <w:kern w:val="0"/>
                <w:sz w:val="24"/>
              </w:rPr>
              <w:t>分。</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2.项目团队（项目负责人除外）中具备中级职称的，每提供一人得</w:t>
            </w:r>
            <w:r>
              <w:rPr>
                <w:rFonts w:ascii="宋体" w:hAnsi="宋体" w:eastAsia="宋体" w:cs="宋体"/>
                <w:color w:val="000000"/>
                <w:kern w:val="0"/>
                <w:sz w:val="24"/>
              </w:rPr>
              <w:t>3</w:t>
            </w:r>
            <w:r>
              <w:rPr>
                <w:rFonts w:hint="eastAsia" w:ascii="宋体" w:hAnsi="宋体" w:eastAsia="宋体" w:cs="宋体"/>
                <w:color w:val="000000"/>
                <w:kern w:val="0"/>
                <w:sz w:val="24"/>
              </w:rPr>
              <w:t>分，本小项最高得</w:t>
            </w:r>
            <w:r>
              <w:rPr>
                <w:rFonts w:ascii="宋体" w:hAnsi="宋体" w:eastAsia="宋体" w:cs="宋体"/>
                <w:color w:val="000000"/>
                <w:kern w:val="0"/>
                <w:sz w:val="24"/>
              </w:rPr>
              <w:t>9</w:t>
            </w:r>
            <w:r>
              <w:rPr>
                <w:rFonts w:hint="eastAsia" w:ascii="宋体" w:hAnsi="宋体" w:eastAsia="宋体" w:cs="宋体"/>
                <w:color w:val="000000"/>
                <w:kern w:val="0"/>
                <w:sz w:val="24"/>
              </w:rPr>
              <w:t>分。（提供人员相关证书及开标截止日前近三个月内的缴纳社保证明复印件）</w:t>
            </w: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w:t>
            </w:r>
            <w:r>
              <w:rPr>
                <w:rFonts w:ascii="宋体" w:hAnsi="宋体" w:eastAsia="宋体" w:cs="宋体"/>
                <w:color w:val="000000"/>
                <w:kern w:val="0"/>
                <w:sz w:val="24"/>
              </w:rPr>
              <w:t>9</w:t>
            </w:r>
            <w:r>
              <w:rPr>
                <w:rFonts w:hint="eastAsia" w:ascii="宋体" w:hAnsi="宋体" w:eastAsia="宋体" w:cs="宋体"/>
                <w:color w:val="000000"/>
                <w:kern w:val="0"/>
                <w:sz w:val="24"/>
              </w:rPr>
              <w:t>分。</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rPr>
            </w:pPr>
          </w:p>
        </w:tc>
      </w:tr>
      <w:tr>
        <w:tblPrEx>
          <w:tblCellMar>
            <w:top w:w="0" w:type="dxa"/>
            <w:left w:w="0" w:type="dxa"/>
            <w:bottom w:w="0" w:type="dxa"/>
            <w:right w:w="0" w:type="dxa"/>
          </w:tblCellMar>
        </w:tblPrEx>
        <w:trPr>
          <w:trHeight w:val="2451"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企业机构信用</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r>
              <w:rPr>
                <w:rFonts w:ascii="宋体" w:hAnsi="宋体" w:eastAsia="宋体" w:cs="宋体"/>
                <w:color w:val="000000" w:themeColor="text1"/>
                <w:kern w:val="0"/>
                <w:sz w:val="24"/>
                <w14:textFill>
                  <w14:solidFill>
                    <w14:schemeClr w14:val="tx1"/>
                  </w14:solidFill>
                </w14:textFill>
              </w:rPr>
              <w:t>5</w:t>
            </w:r>
          </w:p>
        </w:tc>
        <w:tc>
          <w:tcPr>
            <w:tcW w:w="6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left"/>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具备良好社会信誉和健全的财务会计制度（提供</w:t>
            </w:r>
            <w:r>
              <w:rPr>
                <w:rFonts w:hint="eastAsia" w:ascii="宋体" w:hAnsi="宋体" w:eastAsia="宋体" w:cs="宋体"/>
                <w:kern w:val="0"/>
                <w:sz w:val="24"/>
              </w:rPr>
              <w:t>202</w:t>
            </w:r>
            <w:r>
              <w:rPr>
                <w:rFonts w:ascii="宋体" w:hAnsi="宋体" w:eastAsia="宋体" w:cs="宋体"/>
                <w:kern w:val="0"/>
                <w:sz w:val="24"/>
              </w:rPr>
              <w:t>2</w:t>
            </w:r>
            <w:r>
              <w:rPr>
                <w:rFonts w:hint="eastAsia" w:ascii="宋体" w:hAnsi="宋体" w:eastAsia="宋体" w:cs="宋体"/>
                <w:kern w:val="0"/>
                <w:sz w:val="24"/>
              </w:rPr>
              <w:t>年度企业财务审计报告或基本开户行出具的资信证明</w:t>
            </w:r>
            <w:r>
              <w:rPr>
                <w:rFonts w:hint="eastAsia" w:ascii="宋体" w:hAnsi="宋体" w:eastAsia="宋体" w:cs="宋体"/>
                <w:color w:val="000000" w:themeColor="text1"/>
                <w:kern w:val="0"/>
                <w:sz w:val="24"/>
                <w14:textFill>
                  <w14:solidFill>
                    <w14:schemeClr w14:val="tx1"/>
                  </w14:solidFill>
                </w14:textFill>
              </w:rPr>
              <w:t>）。</w:t>
            </w:r>
          </w:p>
          <w:p>
            <w:pPr>
              <w:widowControl/>
              <w:tabs>
                <w:tab w:val="left" w:pos="312"/>
              </w:tabs>
              <w:jc w:val="left"/>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5</w:t>
            </w:r>
            <w:r>
              <w:rPr>
                <w:rFonts w:hint="eastAsia" w:ascii="宋体" w:hAnsi="宋体" w:eastAsia="宋体" w:cs="宋体"/>
                <w:color w:val="000000" w:themeColor="text1"/>
                <w:kern w:val="0"/>
                <w:sz w:val="24"/>
                <w14:textFill>
                  <w14:solidFill>
                    <w14:schemeClr w14:val="tx1"/>
                  </w14:solidFill>
                </w14:textFill>
              </w:rPr>
              <w:t>分。</w:t>
            </w:r>
          </w:p>
          <w:p>
            <w:pPr>
              <w:widowControl/>
              <w:numPr>
                <w:ilvl w:val="0"/>
                <w:numId w:val="1"/>
              </w:numPr>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具备依法缴纳税收和社会保障资金的良好记录及参加政府采购活动前三年内，在经营活动中没有重大违法记录（提供相应的材料或提供声明函原件）--</w:t>
            </w:r>
            <w:r>
              <w:rPr>
                <w:rFonts w:ascii="宋体" w:hAnsi="宋体" w:eastAsia="宋体" w:cs="宋体"/>
                <w:color w:val="000000" w:themeColor="text1"/>
                <w:kern w:val="0"/>
                <w:sz w:val="24"/>
                <w14:textFill>
                  <w14:solidFill>
                    <w14:schemeClr w14:val="tx1"/>
                  </w14:solidFill>
                </w14:textFill>
              </w:rPr>
              <w:t>5</w:t>
            </w:r>
            <w:r>
              <w:rPr>
                <w:rFonts w:hint="eastAsia" w:ascii="宋体" w:hAnsi="宋体" w:eastAsia="宋体" w:cs="宋体"/>
                <w:color w:val="000000" w:themeColor="text1"/>
                <w:kern w:val="0"/>
                <w:sz w:val="24"/>
                <w14:textFill>
                  <w14:solidFill>
                    <w14:schemeClr w14:val="tx1"/>
                  </w14:solidFill>
                </w14:textFill>
              </w:rPr>
              <w:t>分。</w:t>
            </w:r>
          </w:p>
          <w:p>
            <w:pPr>
              <w:widowControl/>
              <w:numPr>
                <w:ilvl w:val="0"/>
                <w:numId w:val="1"/>
              </w:numPr>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同时具有有效的质量管理体系。</w:t>
            </w:r>
            <w:r>
              <w:rPr>
                <w:rFonts w:ascii="宋体" w:hAnsi="宋体" w:eastAsia="宋体" w:cs="宋体"/>
                <w:color w:val="000000" w:themeColor="text1"/>
                <w:kern w:val="0"/>
                <w:sz w:val="24"/>
                <w14:textFill>
                  <w14:solidFill>
                    <w14:schemeClr w14:val="tx1"/>
                  </w14:solidFill>
                </w14:textFill>
              </w:rPr>
              <w:t>--5</w:t>
            </w:r>
            <w:r>
              <w:rPr>
                <w:rFonts w:hint="eastAsia" w:ascii="宋体" w:hAnsi="宋体" w:eastAsia="宋体" w:cs="宋体"/>
                <w:color w:val="000000" w:themeColor="text1"/>
                <w:kern w:val="0"/>
                <w:sz w:val="24"/>
                <w14:textFill>
                  <w14:solidFill>
                    <w14:schemeClr w14:val="tx1"/>
                  </w14:solidFill>
                </w14:textFill>
              </w:rPr>
              <w:t>分。</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rPr>
            </w:pPr>
          </w:p>
        </w:tc>
      </w:tr>
      <w:tr>
        <w:tblPrEx>
          <w:tblCellMar>
            <w:top w:w="0" w:type="dxa"/>
            <w:left w:w="0" w:type="dxa"/>
            <w:bottom w:w="0" w:type="dxa"/>
            <w:right w:w="0" w:type="dxa"/>
          </w:tblCellMar>
        </w:tblPrEx>
        <w:trPr>
          <w:trHeight w:val="935"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同类项目业绩</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15</w:t>
            </w:r>
          </w:p>
        </w:tc>
        <w:tc>
          <w:tcPr>
            <w:tcW w:w="6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r>
              <w:rPr>
                <w:rFonts w:ascii="宋体" w:hAnsi="宋体" w:eastAsia="宋体" w:cs="宋体"/>
                <w:color w:val="000000" w:themeColor="text1"/>
                <w:kern w:val="0"/>
                <w:sz w:val="24"/>
                <w14:textFill>
                  <w14:solidFill>
                    <w14:schemeClr w14:val="tx1"/>
                  </w14:solidFill>
                </w14:textFill>
              </w:rPr>
              <w:t>020</w:t>
            </w:r>
            <w:r>
              <w:rPr>
                <w:rFonts w:hint="eastAsia" w:ascii="宋体" w:hAnsi="宋体" w:eastAsia="宋体" w:cs="宋体"/>
                <w:color w:val="000000" w:themeColor="text1"/>
                <w:kern w:val="0"/>
                <w:sz w:val="24"/>
                <w14:textFill>
                  <w14:solidFill>
                    <w14:schemeClr w14:val="tx1"/>
                  </w14:solidFill>
                </w14:textFill>
              </w:rPr>
              <w:t>年1月1日至今</w:t>
            </w:r>
            <w:r>
              <w:rPr>
                <w:rFonts w:ascii="宋体" w:hAnsi="宋体" w:eastAsia="宋体" w:cs="宋体"/>
                <w:color w:val="000000" w:themeColor="text1"/>
                <w:kern w:val="0"/>
                <w:sz w:val="24"/>
                <w14:textFill>
                  <w14:solidFill>
                    <w14:schemeClr w14:val="tx1"/>
                  </w14:solidFill>
                </w14:textFill>
              </w:rPr>
              <w:t>承接</w:t>
            </w:r>
            <w:r>
              <w:rPr>
                <w:rFonts w:ascii="宋体" w:hAnsi="宋体" w:eastAsia="宋体" w:cs="宋体"/>
                <w:kern w:val="0"/>
                <w:sz w:val="24"/>
              </w:rPr>
              <w:t>过</w:t>
            </w:r>
            <w:r>
              <w:rPr>
                <w:rFonts w:hint="eastAsia" w:ascii="宋体" w:hAnsi="宋体" w:eastAsia="宋体" w:cs="宋体"/>
                <w:kern w:val="0"/>
                <w:sz w:val="24"/>
              </w:rPr>
              <w:t>农田相关</w:t>
            </w:r>
            <w:r>
              <w:rPr>
                <w:rFonts w:ascii="宋体" w:hAnsi="宋体" w:eastAsia="宋体" w:cs="宋体"/>
                <w:kern w:val="0"/>
                <w:sz w:val="24"/>
              </w:rPr>
              <w:t>项目业绩进行评分：</w:t>
            </w:r>
            <w:r>
              <w:rPr>
                <w:rFonts w:hint="eastAsia" w:ascii="宋体" w:hAnsi="宋体" w:eastAsia="宋体" w:cs="宋体"/>
                <w:kern w:val="0"/>
                <w:sz w:val="24"/>
              </w:rPr>
              <w:t>每提供</w:t>
            </w:r>
            <w:r>
              <w:rPr>
                <w:rFonts w:ascii="宋体" w:hAnsi="宋体" w:eastAsia="宋体" w:cs="宋体"/>
                <w:kern w:val="0"/>
                <w:sz w:val="24"/>
              </w:rPr>
              <w:t>1</w:t>
            </w:r>
            <w:r>
              <w:rPr>
                <w:rFonts w:hint="eastAsia" w:ascii="宋体" w:hAnsi="宋体" w:eastAsia="宋体" w:cs="宋体"/>
                <w:kern w:val="0"/>
                <w:sz w:val="24"/>
              </w:rPr>
              <w:t>个得3分，最多</w:t>
            </w:r>
            <w:r>
              <w:rPr>
                <w:rFonts w:ascii="宋体" w:hAnsi="宋体" w:eastAsia="宋体" w:cs="宋体"/>
                <w:kern w:val="0"/>
                <w:sz w:val="24"/>
              </w:rPr>
              <w:t>15</w:t>
            </w:r>
            <w:r>
              <w:rPr>
                <w:rFonts w:hint="eastAsia" w:ascii="宋体" w:hAnsi="宋体" w:eastAsia="宋体" w:cs="宋体"/>
                <w:kern w:val="0"/>
                <w:sz w:val="24"/>
              </w:rPr>
              <w:t>分（提供合同关键页复印件并加盖投标人公章）--</w:t>
            </w:r>
            <w:r>
              <w:rPr>
                <w:rFonts w:ascii="宋体" w:hAnsi="宋体" w:eastAsia="宋体" w:cs="宋体"/>
                <w:kern w:val="0"/>
                <w:sz w:val="24"/>
              </w:rPr>
              <w:t>15</w:t>
            </w:r>
            <w:r>
              <w:rPr>
                <w:rFonts w:hint="eastAsia" w:ascii="宋体" w:hAnsi="宋体" w:eastAsia="宋体" w:cs="宋体"/>
                <w:kern w:val="0"/>
                <w:sz w:val="24"/>
              </w:rPr>
              <w:t>分</w:t>
            </w:r>
            <w:r>
              <w:rPr>
                <w:rFonts w:hint="eastAsia" w:ascii="宋体" w:hAnsi="宋体" w:eastAsia="宋体" w:cs="宋体"/>
                <w:color w:val="000000" w:themeColor="text1"/>
                <w:kern w:val="0"/>
                <w:sz w:val="24"/>
                <w14:textFill>
                  <w14:solidFill>
                    <w14:schemeClr w14:val="tx1"/>
                  </w14:solidFill>
                </w14:textFill>
              </w:rPr>
              <w:t>。</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rPr>
            </w:pPr>
          </w:p>
        </w:tc>
      </w:tr>
      <w:tr>
        <w:tblPrEx>
          <w:tblCellMar>
            <w:top w:w="0" w:type="dxa"/>
            <w:left w:w="0" w:type="dxa"/>
            <w:bottom w:w="0" w:type="dxa"/>
            <w:right w:w="0" w:type="dxa"/>
          </w:tblCellMar>
        </w:tblPrEx>
        <w:trPr>
          <w:trHeight w:val="2754"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服务方案</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25</w:t>
            </w:r>
          </w:p>
        </w:tc>
        <w:tc>
          <w:tcPr>
            <w:tcW w:w="6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cs="宋体"/>
                <w:szCs w:val="21"/>
              </w:rPr>
              <w:t>1</w:t>
            </w:r>
            <w:r>
              <w:rPr>
                <w:rFonts w:hint="eastAsia" w:ascii="宋体" w:hAnsi="宋体" w:eastAsia="宋体" w:cs="宋体"/>
                <w:color w:val="000000" w:themeColor="text1"/>
                <w:kern w:val="0"/>
                <w:sz w:val="24"/>
                <w14:textFill>
                  <w14:solidFill>
                    <w14:schemeClr w14:val="tx1"/>
                  </w14:solidFill>
                </w14:textFill>
              </w:rPr>
              <w:t>、决算编制工作目标明确、科学，决算编制服务方案合理，内容详细，符合或优于采购人需求，得</w:t>
            </w:r>
            <w:r>
              <w:rPr>
                <w:rFonts w:ascii="宋体" w:hAnsi="宋体" w:eastAsia="宋体" w:cs="宋体"/>
                <w:color w:val="000000" w:themeColor="text1"/>
                <w:kern w:val="0"/>
                <w:sz w:val="24"/>
                <w14:textFill>
                  <w14:solidFill>
                    <w14:schemeClr w14:val="tx1"/>
                  </w14:solidFill>
                </w14:textFill>
              </w:rPr>
              <w:t>25</w:t>
            </w:r>
            <w:r>
              <w:rPr>
                <w:rFonts w:hint="eastAsia" w:ascii="宋体" w:hAnsi="宋体" w:eastAsia="宋体" w:cs="宋体"/>
                <w:color w:val="000000" w:themeColor="text1"/>
                <w:kern w:val="0"/>
                <w:sz w:val="24"/>
                <w14:textFill>
                  <w14:solidFill>
                    <w14:schemeClr w14:val="tx1"/>
                  </w14:solidFill>
                </w14:textFill>
              </w:rPr>
              <w:t>分；</w:t>
            </w:r>
          </w:p>
          <w:p>
            <w:pPr>
              <w:widowControl/>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2、决算编制工作目标较明确、较科学，决算编制服务方案较合理，内容较详细，基本符合采购人需求，得</w:t>
            </w:r>
            <w:r>
              <w:rPr>
                <w:rFonts w:ascii="宋体" w:hAnsi="宋体" w:eastAsia="宋体" w:cs="宋体"/>
                <w:color w:val="000000" w:themeColor="text1"/>
                <w:kern w:val="0"/>
                <w:sz w:val="24"/>
                <w14:textFill>
                  <w14:solidFill>
                    <w14:schemeClr w14:val="tx1"/>
                  </w14:solidFill>
                </w14:textFill>
              </w:rPr>
              <w:t>18</w:t>
            </w:r>
            <w:r>
              <w:rPr>
                <w:rFonts w:hint="eastAsia" w:ascii="宋体" w:hAnsi="宋体" w:eastAsia="宋体" w:cs="宋体"/>
                <w:color w:val="000000" w:themeColor="text1"/>
                <w:kern w:val="0"/>
                <w:sz w:val="24"/>
                <w14:textFill>
                  <w14:solidFill>
                    <w14:schemeClr w14:val="tx1"/>
                  </w14:solidFill>
                </w14:textFill>
              </w:rPr>
              <w:t>分；</w:t>
            </w:r>
          </w:p>
          <w:p>
            <w:pPr>
              <w:widowControl/>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3、决算编制工作目标不清晰，决算编制服务方案一般，内容不详细，不能满足或部分不满足采购人需求，得</w:t>
            </w:r>
            <w:r>
              <w:rPr>
                <w:rFonts w:ascii="宋体" w:hAnsi="宋体" w:eastAsia="宋体" w:cs="宋体"/>
                <w:color w:val="000000" w:themeColor="text1"/>
                <w:kern w:val="0"/>
                <w:sz w:val="24"/>
                <w14:textFill>
                  <w14:solidFill>
                    <w14:schemeClr w14:val="tx1"/>
                  </w14:solidFill>
                </w14:textFill>
              </w:rPr>
              <w:t>10</w:t>
            </w:r>
            <w:r>
              <w:rPr>
                <w:rFonts w:hint="eastAsia" w:ascii="宋体" w:hAnsi="宋体" w:eastAsia="宋体" w:cs="宋体"/>
                <w:color w:val="000000" w:themeColor="text1"/>
                <w:kern w:val="0"/>
                <w:sz w:val="24"/>
                <w14:textFill>
                  <w14:solidFill>
                    <w14:schemeClr w14:val="tx1"/>
                  </w14:solidFill>
                </w14:textFill>
              </w:rPr>
              <w:t>分。</w:t>
            </w:r>
          </w:p>
          <w:p>
            <w:pPr>
              <w:widowControl/>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4、不提供不得分。</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rPr>
            </w:pPr>
          </w:p>
        </w:tc>
      </w:tr>
      <w:tr>
        <w:tblPrEx>
          <w:tblCellMar>
            <w:top w:w="0" w:type="dxa"/>
            <w:left w:w="0" w:type="dxa"/>
            <w:bottom w:w="0" w:type="dxa"/>
            <w:right w:w="0" w:type="dxa"/>
          </w:tblCellMar>
        </w:tblPrEx>
        <w:trPr>
          <w:trHeight w:val="1541"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价格</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30</w:t>
            </w:r>
          </w:p>
        </w:tc>
        <w:tc>
          <w:tcPr>
            <w:tcW w:w="6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采用低价优先法计算，即采用低价优先性计算，即满足报名文件要求且价格最低的报价为基准价，其价格分为满分。其他报名单位的价格分统一按照下列公式计算</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报价得分＝</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基准价/报价</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 xml:space="preserve"> ×价格权值×100。</w:t>
            </w:r>
          </w:p>
          <w:p>
            <w:pPr>
              <w:widowControl/>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35</w:t>
            </w:r>
            <w:r>
              <w:rPr>
                <w:rFonts w:hint="eastAsia" w:ascii="宋体" w:hAnsi="宋体" w:eastAsia="宋体" w:cs="宋体"/>
                <w:color w:val="000000" w:themeColor="text1"/>
                <w:kern w:val="0"/>
                <w:sz w:val="24"/>
                <w14:textFill>
                  <w14:solidFill>
                    <w14:schemeClr w14:val="tx1"/>
                  </w14:solidFill>
                </w14:textFill>
              </w:rPr>
              <w:t>分。</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rPr>
            </w:pPr>
          </w:p>
        </w:tc>
      </w:tr>
      <w:tr>
        <w:tblPrEx>
          <w:tblCellMar>
            <w:top w:w="0" w:type="dxa"/>
            <w:left w:w="0" w:type="dxa"/>
            <w:bottom w:w="0" w:type="dxa"/>
            <w:right w:w="0" w:type="dxa"/>
          </w:tblCellMar>
        </w:tblPrEx>
        <w:trPr>
          <w:trHeight w:val="338" w:hRule="atLeast"/>
          <w:jc w:val="center"/>
        </w:trPr>
        <w:tc>
          <w:tcPr>
            <w:tcW w:w="2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100</w:t>
            </w:r>
          </w:p>
        </w:tc>
        <w:tc>
          <w:tcPr>
            <w:tcW w:w="6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24E77"/>
    <w:multiLevelType w:val="singleLevel"/>
    <w:tmpl w:val="A7224E7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67AF7"/>
    <w:rsid w:val="77F6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区农业农村局</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2023-11-07T03:00:00Z</dcterms:created>
  <dc:creator>区农业农村局</dc:creator>
  <cp:lastModifiedBy>区农业农村局</cp:lastModifiedBy>
  <dcterms:modified xsi:type="dcterms:W3CDTF">2023-11-07T03:00:48Z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854B48B83E98424CB83BF5555FE1BD71</vt:lpwstr>
  </property>
</Properties>
</file>