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color w:val="auto"/>
          <w:sz w:val="32"/>
          <w:szCs w:val="32"/>
        </w:rPr>
      </w:pPr>
      <w:r>
        <w:rPr>
          <w:rFonts w:hint="eastAsia" w:ascii="黑体" w:hAnsi="黑体" w:eastAsia="黑体" w:cs="仿宋"/>
          <w:color w:val="auto"/>
          <w:sz w:val="32"/>
          <w:szCs w:val="32"/>
        </w:rPr>
        <w:t>附件4</w:t>
      </w:r>
    </w:p>
    <w:p>
      <w:pPr>
        <w:spacing w:line="360" w:lineRule="auto"/>
        <w:jc w:val="center"/>
        <w:rPr>
          <w:rFonts w:hint="eastAsia" w:ascii="方正小标宋简体" w:hAnsi="仿宋" w:eastAsia="方正小标宋简体" w:cs="仿宋"/>
          <w:color w:val="auto"/>
          <w:sz w:val="44"/>
          <w:szCs w:val="44"/>
        </w:rPr>
      </w:pPr>
      <w:r>
        <w:rPr>
          <w:rFonts w:hint="eastAsia" w:ascii="方正小标宋简体" w:hAnsi="仿宋" w:eastAsia="方正小标宋简体" w:cs="仿宋"/>
          <w:color w:val="auto"/>
          <w:sz w:val="44"/>
          <w:szCs w:val="44"/>
        </w:rPr>
        <w:t>关于部分检验项目的说明</w:t>
      </w:r>
    </w:p>
    <w:p>
      <w:pPr>
        <w:adjustRightInd w:val="0"/>
        <w:snapToGrid w:val="0"/>
        <w:spacing w:line="360" w:lineRule="auto"/>
        <w:jc w:val="left"/>
        <w:rPr>
          <w:rFonts w:hint="eastAsia" w:ascii="黑体" w:hAnsi="黑体" w:eastAsia="黑体" w:cs="黑体"/>
          <w:color w:val="000000"/>
          <w:spacing w:val="-4"/>
          <w:sz w:val="30"/>
          <w:szCs w:val="30"/>
          <w:lang w:val="en-US" w:eastAsia="zh-CN"/>
        </w:rPr>
      </w:pPr>
      <w:r>
        <w:rPr>
          <w:rFonts w:hint="eastAsia" w:ascii="黑体" w:hAnsi="黑体" w:eastAsia="黑体" w:cs="黑体"/>
          <w:bCs/>
          <w:color w:val="auto"/>
          <w:sz w:val="32"/>
          <w:szCs w:val="32"/>
          <w:lang w:val="en-US" w:eastAsia="zh-CN"/>
        </w:rPr>
        <w:t>一、</w:t>
      </w:r>
      <w:r>
        <w:rPr>
          <w:rFonts w:hint="eastAsia" w:ascii="黑体" w:hAnsi="黑体" w:eastAsia="黑体" w:cs="黑体"/>
          <w:color w:val="000000"/>
          <w:spacing w:val="-4"/>
          <w:sz w:val="30"/>
          <w:szCs w:val="30"/>
          <w:lang w:val="en-US" w:eastAsia="zh-CN"/>
        </w:rPr>
        <w:t>菌落总数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菌落总数是指示性微生物指标，并非致病菌指标。其卫生学意义主要是：一是作为食品被微生物污染程度，即清洁状态的标志，反映食品在生产过程中的卫生状况；二是预测食品耐保藏性。一般来讲，食品中菌落总数数量越多，食品腐败变质的速度就越快。如果食品的菌落总数严重超标，将会破坏食品的营养成分，使食品失去食用价值；还会加速食品的腐败变质，可能危害人体健康。菌落总数超标说明生产经营企业可能未按要求严格控制生产加工过程的卫生条件，或者包装容器清洗消毒不到位；还有可能与产品包装密封不严，储运条件控制不当等有关。 </w:t>
      </w:r>
    </w:p>
    <w:p>
      <w:pPr>
        <w:shd w:val="clear" w:color="auto" w:fill="auto"/>
        <w:spacing w:line="360" w:lineRule="auto"/>
        <w:rPr>
          <w:rFonts w:hint="eastAsia" w:ascii="黑体" w:hAnsi="黑体" w:eastAsia="黑体" w:cs="黑体"/>
          <w:bCs/>
          <w:color w:val="auto"/>
          <w:sz w:val="32"/>
          <w:szCs w:val="32"/>
          <w:lang w:val="en-US" w:eastAsia="zh-CN"/>
        </w:rPr>
      </w:pPr>
      <w:r>
        <w:rPr>
          <w:rFonts w:hint="eastAsia" w:ascii="黑体" w:hAnsi="黑体" w:eastAsia="黑体"/>
          <w:bCs/>
          <w:color w:val="auto"/>
          <w:sz w:val="32"/>
          <w:szCs w:val="32"/>
          <w:lang w:val="en-US" w:eastAsia="zh-CN"/>
        </w:rPr>
        <w:t>二、二氧化硫残留量</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jc w:val="both"/>
        <w:textAlignment w:val="auto"/>
        <w:rPr>
          <w:rFonts w:hint="default" w:ascii="仿宋" w:hAnsi="仿宋" w:eastAsia="仿宋" w:cs="仿宋"/>
          <w:color w:val="auto"/>
          <w:sz w:val="32"/>
          <w:szCs w:val="32"/>
          <w:lang w:val="en-US" w:eastAsia="zh-CN"/>
        </w:rPr>
      </w:pPr>
      <w:r>
        <w:rPr>
          <w:rFonts w:hint="eastAsia" w:ascii="仿宋_GB2312" w:hAnsi="仿宋_GB2312" w:eastAsia="仿宋_GB2312" w:cs="仿宋_GB2312"/>
          <w:color w:val="000000"/>
          <w:spacing w:val="-4"/>
          <w:sz w:val="30"/>
          <w:szCs w:val="30"/>
          <w:lang w:val="en-US" w:eastAsia="zh-CN"/>
        </w:rPr>
        <w:t>二</w:t>
      </w:r>
      <w:r>
        <w:rPr>
          <w:rFonts w:hint="eastAsia" w:ascii="仿宋" w:hAnsi="仿宋" w:eastAsia="仿宋" w:cs="仿宋"/>
          <w:color w:val="auto"/>
          <w:sz w:val="32"/>
          <w:szCs w:val="32"/>
          <w:lang w:val="en-US" w:eastAsia="zh-CN"/>
        </w:rPr>
        <w:t>氧化硫是食品加工中常用的漂白剂和防腐剂，遇水以后形成亚硫酸。二氧化硫被氧化时可使食品的着色物质还原褪色，亚硫酸对食品的褐变有抑制作用，对细菌、真菌、酵母菌也有抑制作用，因此既是漂白剂又是防腐剂。二氧化硫进入人体内后最终转化为硫酸盐并随尿液排出体外。少量二氧化硫进入人体不会对身体带来健康危害，但若过量食用会引起如恶心、呕吐等胃肠道反应。二氧化硫不符合标准的原因可能有，个别生产经营企业使用劣质原料以降低成本，其后为了提高产品色泽超量使用二氧化硫；也有可能是使用时不计量或计量不准确；还有可能是由于使用硫磺熏蒸漂白这种传统工艺或直接使用亚硫酸盐浸泡保鲜所造成。</w:t>
      </w:r>
      <w:r>
        <w:rPr>
          <w:rFonts w:hint="eastAsia" w:ascii="仿宋" w:hAnsi="仿宋" w:eastAsia="仿宋" w:cs="仿宋"/>
          <w:color w:val="auto"/>
          <w:sz w:val="32"/>
          <w:szCs w:val="32"/>
        </w:rPr>
        <w:t>。GB 2760</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2014《食品安全国家标准 食品添加剂使用标准》中规定，</w:t>
      </w:r>
      <w:r>
        <w:rPr>
          <w:rFonts w:hint="eastAsia" w:ascii="仿宋" w:hAnsi="仿宋" w:eastAsia="仿宋" w:cs="仿宋"/>
          <w:color w:val="auto"/>
          <w:sz w:val="32"/>
          <w:szCs w:val="32"/>
          <w:lang w:eastAsia="zh-CN"/>
        </w:rPr>
        <w:t>干制蔬菜</w:t>
      </w:r>
      <w:r>
        <w:rPr>
          <w:rFonts w:hint="eastAsia" w:ascii="仿宋" w:hAnsi="仿宋" w:eastAsia="仿宋" w:cs="仿宋"/>
          <w:color w:val="auto"/>
          <w:sz w:val="32"/>
          <w:szCs w:val="32"/>
        </w:rPr>
        <w:t>中二氧化硫残留量不得超过</w:t>
      </w:r>
      <w:r>
        <w:rPr>
          <w:rFonts w:hint="eastAsia" w:ascii="仿宋" w:hAnsi="仿宋" w:eastAsia="仿宋" w:cs="仿宋"/>
          <w:color w:val="auto"/>
          <w:sz w:val="32"/>
          <w:szCs w:val="32"/>
          <w:lang w:val="en-US" w:eastAsia="zh-CN"/>
        </w:rPr>
        <w:t>0.2</w:t>
      </w:r>
      <w:r>
        <w:rPr>
          <w:rFonts w:hint="eastAsia" w:ascii="仿宋" w:hAnsi="仿宋" w:eastAsia="仿宋" w:cs="仿宋"/>
          <w:color w:val="auto"/>
          <w:sz w:val="32"/>
          <w:szCs w:val="32"/>
        </w:rPr>
        <w:t>g/kg。</w:t>
      </w:r>
      <w:r>
        <w:rPr>
          <w:rFonts w:hint="eastAsia" w:ascii="仿宋" w:hAnsi="仿宋" w:eastAsia="仿宋" w:cs="仿宋"/>
          <w:color w:val="auto"/>
          <w:sz w:val="32"/>
          <w:szCs w:val="32"/>
          <w:lang w:eastAsia="zh-CN"/>
        </w:rPr>
        <w:t>干制蔬菜</w:t>
      </w:r>
      <w:r>
        <w:rPr>
          <w:rFonts w:hint="eastAsia" w:ascii="仿宋" w:hAnsi="仿宋" w:eastAsia="仿宋" w:cs="仿宋"/>
          <w:color w:val="auto"/>
          <w:sz w:val="32"/>
          <w:szCs w:val="32"/>
        </w:rPr>
        <w:t>中二氧化硫残留量超标的原因，可能是生产企业为了改善</w:t>
      </w:r>
      <w:r>
        <w:rPr>
          <w:rFonts w:hint="eastAsia" w:ascii="仿宋" w:hAnsi="仿宋" w:eastAsia="仿宋" w:cs="仿宋"/>
          <w:color w:val="auto"/>
          <w:sz w:val="32"/>
          <w:szCs w:val="32"/>
          <w:lang w:eastAsia="zh-CN"/>
        </w:rPr>
        <w:t>产品</w:t>
      </w:r>
      <w:r>
        <w:rPr>
          <w:rFonts w:hint="eastAsia" w:ascii="仿宋" w:hAnsi="仿宋" w:eastAsia="仿宋" w:cs="仿宋"/>
          <w:color w:val="auto"/>
          <w:sz w:val="32"/>
          <w:szCs w:val="32"/>
        </w:rPr>
        <w:t>的色泽，从而超量使用二氧化硫；也有可能是使用时不计量或计量不准确</w:t>
      </w:r>
      <w:r>
        <w:rPr>
          <w:rFonts w:hint="eastAsia" w:ascii="仿宋" w:hAnsi="仿宋" w:eastAsia="仿宋" w:cs="仿宋"/>
          <w:color w:val="auto"/>
          <w:sz w:val="32"/>
          <w:szCs w:val="32"/>
          <w:lang w:eastAsia="zh-CN"/>
        </w:rPr>
        <w:t>造成</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 xml:space="preserve">    </w:t>
      </w:r>
    </w:p>
    <w:p>
      <w:pPr>
        <w:shd w:val="clear" w:color="auto" w:fill="auto"/>
        <w:spacing w:line="360" w:lineRule="auto"/>
        <w:rPr>
          <w:rFonts w:hint="eastAsia" w:ascii="黑体" w:hAnsi="黑体" w:eastAsia="黑体"/>
          <w:bCs/>
          <w:color w:val="auto"/>
          <w:szCs w:val="32"/>
          <w:lang w:val="en-US" w:eastAsia="zh-CN"/>
        </w:rPr>
      </w:pPr>
      <w:r>
        <w:rPr>
          <w:rFonts w:hint="eastAsia" w:ascii="黑体" w:hAnsi="黑体" w:eastAsia="黑体"/>
          <w:bCs/>
          <w:color w:val="auto"/>
          <w:sz w:val="32"/>
          <w:szCs w:val="32"/>
          <w:lang w:val="en-US" w:eastAsia="zh-CN"/>
        </w:rPr>
        <w:t>三、过氧化值(以脂肪计)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过氧化值是指油脂中</w:t>
      </w:r>
      <w:bookmarkStart w:id="0" w:name="_GoBack"/>
      <w:bookmarkEnd w:id="0"/>
      <w:r>
        <w:rPr>
          <w:rFonts w:hint="eastAsia" w:ascii="仿宋" w:hAnsi="仿宋" w:eastAsia="仿宋" w:cs="仿宋"/>
          <w:color w:val="auto"/>
          <w:sz w:val="32"/>
          <w:szCs w:val="32"/>
        </w:rPr>
        <w:t>不饱和脂肪酸被氧化形成过氧化物，是油脂酸败的早期指标。一般不会对人体健康造成损害，但食用过氧化值严重超标的食品可能导致肠胃不适、腹泻等症状。GB 10136-2015《食品安全国家标准 动物性水产制品》中规定，预制动物性水产干制品中过氧化值的最大限量值为</w:t>
      </w:r>
      <w:r>
        <w:rPr>
          <w:rFonts w:hint="eastAsia" w:ascii="仿宋" w:hAnsi="仿宋" w:eastAsia="仿宋" w:cs="仿宋"/>
          <w:color w:val="auto"/>
          <w:sz w:val="32"/>
          <w:szCs w:val="32"/>
          <w:lang w:val="en-US" w:eastAsia="zh-CN"/>
        </w:rPr>
        <w:t>0.6</w:t>
      </w:r>
      <w:r>
        <w:rPr>
          <w:rFonts w:hint="eastAsia" w:ascii="仿宋" w:hAnsi="仿宋" w:eastAsia="仿宋" w:cs="仿宋"/>
          <w:color w:val="auto"/>
          <w:sz w:val="32"/>
          <w:szCs w:val="32"/>
        </w:rPr>
        <w:t>g/100g。</w:t>
      </w:r>
    </w:p>
    <w:p>
      <w:r>
        <w:rPr>
          <w:rFonts w:hint="eastAsia" w:ascii="仿宋" w:hAnsi="仿宋" w:eastAsia="仿宋" w:cs="仿宋"/>
          <w:color w:val="auto"/>
          <w:sz w:val="32"/>
          <w:szCs w:val="32"/>
        </w:rPr>
        <w:t>预制动物性水产干制品中过氧化值超标的原因，可能是产品储存条件控制不当，导致油脂过度氧化；也可能是原料储存不当，导致脂肪过度氧化，使得终产品过氧化值超标。</w:t>
      </w:r>
      <w:r>
        <w:rPr>
          <w:rFonts w:hint="eastAsia" w:ascii="仿宋" w:hAnsi="仿宋" w:eastAsia="仿宋" w:cs="仿宋"/>
          <w:color w:val="auto"/>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36215C"/>
    <w:rsid w:val="23362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hint="eastAsia" w:ascii="Calibri" w:hAnsi="Calibri"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区市场监管局</Company>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2023-12-19T09:24:00Z</dcterms:created>
  <dc:creator>张宇筱</dc:creator>
  <cp:lastModifiedBy>张宇筱</cp:lastModifiedBy>
  <dcterms:modified xsi:type="dcterms:W3CDTF">2023-12-19T09:29:07Z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