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sz w:val="32"/>
          <w:szCs w:val="32"/>
          <w:lang w:val="en-US" w:eastAsia="zh-CN"/>
        </w:rPr>
      </w:pPr>
      <w:bookmarkStart w:id="0" w:name="_Toc32611"/>
      <w:bookmarkStart w:id="1" w:name="_Toc22081"/>
      <w:bookmarkStart w:id="2" w:name="_Toc17188"/>
      <w:bookmarkStart w:id="3" w:name="_Toc5010"/>
      <w:bookmarkStart w:id="4" w:name="_Toc1198"/>
      <w:bookmarkStart w:id="5" w:name="_Toc29096"/>
      <w:bookmarkStart w:id="6" w:name="_Toc467592452"/>
      <w:bookmarkStart w:id="7" w:name="_Toc7674"/>
      <w:bookmarkStart w:id="8" w:name="_Toc467595297"/>
      <w:bookmarkStart w:id="9" w:name="_Toc467595005"/>
      <w:bookmarkStart w:id="10" w:name="_Toc30551"/>
      <w:bookmarkStart w:id="11" w:name="_Toc18414"/>
      <w:bookmarkStart w:id="12" w:name="_Toc10021"/>
      <w:r>
        <w:rPr>
          <w:rFonts w:hint="default" w:ascii="Times New Roman" w:hAnsi="Times New Roman" w:eastAsia="黑体" w:cs="Times New Roman"/>
          <w:b w:val="0"/>
          <w:bCs/>
          <w:sz w:val="32"/>
          <w:szCs w:val="32"/>
          <w:lang w:val="en-US" w:eastAsia="zh-CN"/>
        </w:rPr>
        <w:t>附件2</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Cs w:val="0"/>
          <w:sz w:val="36"/>
          <w:szCs w:val="36"/>
        </w:rPr>
      </w:pPr>
      <w:r>
        <w:rPr>
          <w:rFonts w:hint="default" w:ascii="Times New Roman" w:hAnsi="Times New Roman" w:cs="Times New Roman"/>
          <w:bCs w:val="0"/>
          <w:sz w:val="36"/>
          <w:szCs w:val="36"/>
        </w:rPr>
        <w:t>快报表指</w:t>
      </w:r>
      <w:bookmarkStart w:id="13" w:name="_GoBack"/>
      <w:bookmarkEnd w:id="13"/>
      <w:r>
        <w:rPr>
          <w:rFonts w:hint="default" w:ascii="Times New Roman" w:hAnsi="Times New Roman" w:cs="Times New Roman"/>
          <w:bCs w:val="0"/>
          <w:sz w:val="36"/>
          <w:szCs w:val="36"/>
        </w:rPr>
        <w:t>标</w:t>
      </w:r>
      <w:r>
        <w:rPr>
          <w:rFonts w:hint="default" w:ascii="Times New Roman" w:hAnsi="Times New Roman" w:cs="Times New Roman"/>
          <w:bCs w:val="0"/>
          <w:sz w:val="36"/>
          <w:szCs w:val="36"/>
        </w:rPr>
        <w:t>解释</w:t>
      </w:r>
    </w:p>
    <w:bookmarkEnd w:id="0"/>
    <w:bookmarkEnd w:id="1"/>
    <w:bookmarkEnd w:id="2"/>
    <w:bookmarkEnd w:id="3"/>
    <w:bookmarkEnd w:id="4"/>
    <w:bookmarkEnd w:id="5"/>
    <w:bookmarkEnd w:id="6"/>
    <w:bookmarkEnd w:id="7"/>
    <w:bookmarkEnd w:id="8"/>
    <w:bookmarkEnd w:id="9"/>
    <w:bookmarkEnd w:id="10"/>
    <w:bookmarkEnd w:id="11"/>
    <w:bookmarkEnd w:id="12"/>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高新技术企业</w:t>
      </w:r>
      <w:r>
        <w:rPr>
          <w:rFonts w:hint="default" w:ascii="Times New Roman" w:hAnsi="Times New Roman" w:eastAsia="仿宋" w:cs="Times New Roman"/>
          <w:sz w:val="24"/>
        </w:rPr>
        <w:t>指经省、自治区、直辖市、计划单列市高新技术企业认定管理机构认定，并经全国高新技术企业认定管理工作领导小组备案，获得高新技术企业证书，且证书于报告期年底尚在有效期内的企业。</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年末从业人员</w:t>
      </w:r>
      <w:r>
        <w:rPr>
          <w:rFonts w:hint="default" w:ascii="Times New Roman" w:hAnsi="Times New Roman" w:eastAsia="仿宋" w:cs="Times New Roman"/>
          <w:sz w:val="24"/>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（1）离开本单位仍保留劳动关系，并定期领取生活费的人员；</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（2）利用课余时间打工的学生及在本单位实习的各类在校学生；</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（3）本单位因劳务外包而使用的人员，如：建筑业整建制使用的人员。</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工业增加值</w:t>
      </w:r>
      <w:r>
        <w:rPr>
          <w:rFonts w:hint="default" w:ascii="Times New Roman" w:hAnsi="Times New Roman" w:eastAsia="仿宋" w:cs="Times New Roman"/>
          <w:sz w:val="24"/>
        </w:rPr>
        <w:t>是指工业企业在报告期内以货币形式表现的工业生产活动的最终成果;是工业企业全部生产活动的总成果扣除了在生产过程中消耗或转移的物质产品和劳务价值后的余额;是工业企业生产过程中新增加的价值。工业增加值有两种核算方法：</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一是生产法，即工业总产出减去工业中间投入；</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二是收入法，即从收入的角度出发，根据生产要素在生产过程中应得到的收入份额核算，具体构成项目有固定资产折旧、劳动者报酬、生产税净额、营业盈余，这种方法也称要素分配法。</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（1）生产法：工业增加值=工业总产出—工业中间投入+应缴增值税</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（2）收入法（分配法）：工业增加值=固定资产折旧+劳动者报酬+生产税净额+营业盈余</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工业总产值</w:t>
      </w:r>
      <w:r>
        <w:rPr>
          <w:rFonts w:hint="default" w:ascii="Times New Roman" w:hAnsi="Times New Roman" w:eastAsia="仿宋" w:cs="Times New Roman"/>
          <w:sz w:val="24"/>
        </w:rPr>
        <w:t>指工业企业在报告期内生产的以货币形式表现的工业最终产品和提供工业劳务活动的总价值量。</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营业收入</w:t>
      </w:r>
      <w:r>
        <w:rPr>
          <w:rFonts w:hint="default" w:ascii="Times New Roman" w:hAnsi="Times New Roman" w:eastAsia="仿宋" w:cs="Times New Roman"/>
          <w:sz w:val="24"/>
        </w:rPr>
        <w:t>指企业经营主要业务和其他业务所确认的收入总额，包括“主营业务收入”和“其他业务收入”。根据会计“利润表”中“营业收入”项目的本期金额数填报。</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利润总额</w:t>
      </w:r>
      <w:r>
        <w:rPr>
          <w:rFonts w:hint="default" w:ascii="Times New Roman" w:hAnsi="Times New Roman" w:eastAsia="仿宋" w:cs="Times New Roman"/>
          <w:sz w:val="24"/>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净利润</w:t>
      </w:r>
      <w:r>
        <w:rPr>
          <w:rFonts w:hint="default" w:ascii="Times New Roman" w:hAnsi="Times New Roman" w:eastAsia="仿宋" w:cs="Times New Roman"/>
          <w:sz w:val="24"/>
        </w:rPr>
        <w:t>指企业实现的利润在上交国家所得税后的剩余部分。按会计“损益表”中“净利润”项的本年累计数填列。</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实际上缴税费总额</w:t>
      </w:r>
      <w:r>
        <w:rPr>
          <w:rFonts w:hint="default" w:ascii="Times New Roman" w:hAnsi="Times New Roman" w:eastAsia="仿宋" w:cs="Times New Roman"/>
          <w:sz w:val="24"/>
        </w:rPr>
        <w:t>指企业在报告期内实际上缴的各项税金、特种基金和附加费等。按当年实际发生额填报。</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实际减免税总额指报告期内企业根据国家或地方政府有关政策，实际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享受高新技术企业所得税减免</w:t>
      </w:r>
      <w:r>
        <w:rPr>
          <w:rFonts w:hint="default" w:ascii="Times New Roman" w:hAnsi="Times New Roman" w:eastAsia="仿宋" w:cs="Times New Roman"/>
          <w:sz w:val="24"/>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pageBreakBefore w:val="0"/>
        <w:widowControl w:val="0"/>
        <w:kinsoku/>
        <w:wordWrap/>
        <w:overflowPunct/>
        <w:topLinePunct w:val="0"/>
        <w:autoSpaceDE/>
        <w:autoSpaceDN/>
        <w:bidi w:val="0"/>
        <w:adjustRightInd/>
        <w:snapToGrid/>
        <w:spacing w:line="6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享受先进制造业企业增值税加计抵减额</w:t>
      </w:r>
      <w:r>
        <w:rPr>
          <w:rFonts w:hint="default" w:ascii="Times New Roman" w:hAnsi="Times New Roman" w:eastAsia="仿宋" w:cs="Times New Roman"/>
          <w:sz w:val="24"/>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 ﹝2023﹞ 267号）及相关政策依法享受的增值税加计抵减额，按填报期当年税务部门实际抵减的税额填报。如本年实际发生的抵减额为零，即填0。</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sz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pStyle w:val="16"/>
      <w:lvlText w:val="%1."/>
      <w:lvlJc w:val="left"/>
      <w:pPr>
        <w:tabs>
          <w:tab w:val="left" w:pos="1020"/>
        </w:tabs>
        <w:ind w:left="102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3175"/>
    <w:rsid w:val="00004B9E"/>
    <w:rsid w:val="0003094B"/>
    <w:rsid w:val="000B45FE"/>
    <w:rsid w:val="000C6115"/>
    <w:rsid w:val="000E402B"/>
    <w:rsid w:val="00101765"/>
    <w:rsid w:val="0010190F"/>
    <w:rsid w:val="00125DDD"/>
    <w:rsid w:val="00131F4B"/>
    <w:rsid w:val="00151BF3"/>
    <w:rsid w:val="0019783E"/>
    <w:rsid w:val="001B6B36"/>
    <w:rsid w:val="001D5E59"/>
    <w:rsid w:val="001F0727"/>
    <w:rsid w:val="00220144"/>
    <w:rsid w:val="002501CE"/>
    <w:rsid w:val="0026577B"/>
    <w:rsid w:val="002809FA"/>
    <w:rsid w:val="002833ED"/>
    <w:rsid w:val="00293823"/>
    <w:rsid w:val="002C2563"/>
    <w:rsid w:val="00314F27"/>
    <w:rsid w:val="00360994"/>
    <w:rsid w:val="00360B2C"/>
    <w:rsid w:val="00367966"/>
    <w:rsid w:val="003B35E0"/>
    <w:rsid w:val="003C11A7"/>
    <w:rsid w:val="003C3303"/>
    <w:rsid w:val="003E6DF2"/>
    <w:rsid w:val="00471EB6"/>
    <w:rsid w:val="00482899"/>
    <w:rsid w:val="004B3E20"/>
    <w:rsid w:val="004C3E1F"/>
    <w:rsid w:val="004C7FD1"/>
    <w:rsid w:val="004F3C47"/>
    <w:rsid w:val="0050428B"/>
    <w:rsid w:val="005252CE"/>
    <w:rsid w:val="00527109"/>
    <w:rsid w:val="0054757E"/>
    <w:rsid w:val="005918D7"/>
    <w:rsid w:val="005F2364"/>
    <w:rsid w:val="005F70B4"/>
    <w:rsid w:val="006348D4"/>
    <w:rsid w:val="006475F5"/>
    <w:rsid w:val="00650023"/>
    <w:rsid w:val="00675F66"/>
    <w:rsid w:val="006F558B"/>
    <w:rsid w:val="00704F9B"/>
    <w:rsid w:val="00707B34"/>
    <w:rsid w:val="00733966"/>
    <w:rsid w:val="00794BBC"/>
    <w:rsid w:val="0079579B"/>
    <w:rsid w:val="007C5253"/>
    <w:rsid w:val="0083471C"/>
    <w:rsid w:val="00837F93"/>
    <w:rsid w:val="00855C37"/>
    <w:rsid w:val="00877122"/>
    <w:rsid w:val="008A0668"/>
    <w:rsid w:val="008B7895"/>
    <w:rsid w:val="008F6D94"/>
    <w:rsid w:val="0091356B"/>
    <w:rsid w:val="0091671E"/>
    <w:rsid w:val="00974A96"/>
    <w:rsid w:val="00984E23"/>
    <w:rsid w:val="009C1C07"/>
    <w:rsid w:val="00A1185B"/>
    <w:rsid w:val="00A233A4"/>
    <w:rsid w:val="00A46587"/>
    <w:rsid w:val="00A52EF4"/>
    <w:rsid w:val="00A63175"/>
    <w:rsid w:val="00AA7613"/>
    <w:rsid w:val="00BB18CD"/>
    <w:rsid w:val="00BB5237"/>
    <w:rsid w:val="00BD5B7D"/>
    <w:rsid w:val="00BE414D"/>
    <w:rsid w:val="00C11D51"/>
    <w:rsid w:val="00C4134F"/>
    <w:rsid w:val="00C52D2A"/>
    <w:rsid w:val="00C7492B"/>
    <w:rsid w:val="00C765D7"/>
    <w:rsid w:val="00C86066"/>
    <w:rsid w:val="00D66261"/>
    <w:rsid w:val="00D8066C"/>
    <w:rsid w:val="00DE040D"/>
    <w:rsid w:val="00DE2DC7"/>
    <w:rsid w:val="00E00DC0"/>
    <w:rsid w:val="00E14A88"/>
    <w:rsid w:val="00E31BB7"/>
    <w:rsid w:val="00E85404"/>
    <w:rsid w:val="00E9310F"/>
    <w:rsid w:val="00EB4C26"/>
    <w:rsid w:val="00EC1EAC"/>
    <w:rsid w:val="00EC56B2"/>
    <w:rsid w:val="00ED68E0"/>
    <w:rsid w:val="00F01C30"/>
    <w:rsid w:val="00F11556"/>
    <w:rsid w:val="00F16603"/>
    <w:rsid w:val="00F21267"/>
    <w:rsid w:val="00F414C5"/>
    <w:rsid w:val="00F5012D"/>
    <w:rsid w:val="00FE4C77"/>
    <w:rsid w:val="05454BB6"/>
    <w:rsid w:val="097173C0"/>
    <w:rsid w:val="0B394C05"/>
    <w:rsid w:val="0D217872"/>
    <w:rsid w:val="138035ED"/>
    <w:rsid w:val="16E47A24"/>
    <w:rsid w:val="29726A7F"/>
    <w:rsid w:val="34E83602"/>
    <w:rsid w:val="3917723C"/>
    <w:rsid w:val="43044C28"/>
    <w:rsid w:val="46A772B5"/>
    <w:rsid w:val="51063FE8"/>
    <w:rsid w:val="54CE3D7C"/>
    <w:rsid w:val="54DF461B"/>
    <w:rsid w:val="5DE27244"/>
    <w:rsid w:val="701D2C39"/>
    <w:rsid w:val="7C6A26D0"/>
    <w:rsid w:val="7E70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3"/>
    <w:basedOn w:val="1"/>
    <w:next w:val="1"/>
    <w:link w:val="12"/>
    <w:qFormat/>
    <w:uiPriority w:val="0"/>
    <w:pPr>
      <w:keepNext/>
      <w:keepLines/>
      <w:spacing w:before="260" w:after="260" w:line="416" w:lineRule="auto"/>
      <w:outlineLvl w:val="2"/>
    </w:pPr>
    <w:rPr>
      <w:b/>
      <w:bCs/>
      <w:sz w:val="32"/>
      <w:szCs w:val="32"/>
    </w:rPr>
  </w:style>
  <w:style w:type="paragraph" w:styleId="4">
    <w:name w:val="heading 4"/>
    <w:basedOn w:val="1"/>
    <w:next w:val="1"/>
    <w:link w:val="13"/>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spacing w:line="500" w:lineRule="exact"/>
    </w:pPr>
    <w:rPr>
      <w:rFonts w:ascii="仿宋_GB2312" w:eastAsia="仿宋_GB2312"/>
      <w:spacing w:val="10"/>
      <w:sz w:val="30"/>
    </w:rPr>
  </w:style>
  <w:style w:type="paragraph" w:styleId="6">
    <w:name w:val="Body Text Indent"/>
    <w:basedOn w:val="1"/>
    <w:uiPriority w:val="0"/>
    <w:pPr>
      <w:spacing w:after="120"/>
      <w:ind w:left="420" w:leftChars="200"/>
    </w:pPr>
  </w:style>
  <w:style w:type="paragraph" w:styleId="7">
    <w:name w:val="Date"/>
    <w:basedOn w:val="1"/>
    <w:next w:val="1"/>
    <w:uiPriority w:val="0"/>
    <w:pPr>
      <w:ind w:left="100" w:leftChars="2500"/>
    </w:pPr>
    <w:rPr>
      <w:sz w:val="28"/>
    </w:rPr>
  </w:style>
  <w:style w:type="paragraph" w:styleId="8">
    <w:name w:val="footer"/>
    <w:basedOn w:val="1"/>
    <w:link w:val="14"/>
    <w:uiPriority w:val="0"/>
    <w:pPr>
      <w:tabs>
        <w:tab w:val="center" w:pos="4153"/>
        <w:tab w:val="right" w:pos="8306"/>
      </w:tabs>
      <w:snapToGrid w:val="0"/>
      <w:jc w:val="left"/>
    </w:pPr>
    <w:rPr>
      <w:sz w:val="18"/>
      <w:szCs w:val="18"/>
    </w:rPr>
  </w:style>
  <w:style w:type="paragraph" w:styleId="9">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3 Char"/>
    <w:basedOn w:val="11"/>
    <w:link w:val="3"/>
    <w:uiPriority w:val="0"/>
    <w:rPr>
      <w:b/>
      <w:bCs/>
      <w:kern w:val="2"/>
      <w:sz w:val="32"/>
      <w:szCs w:val="32"/>
    </w:rPr>
  </w:style>
  <w:style w:type="character" w:customStyle="1" w:styleId="13">
    <w:name w:val="标题 4 Char"/>
    <w:basedOn w:val="11"/>
    <w:link w:val="4"/>
    <w:qFormat/>
    <w:uiPriority w:val="0"/>
    <w:rPr>
      <w:rFonts w:ascii="Cambria" w:hAnsi="Cambria" w:eastAsia="宋体" w:cs="Times New Roman"/>
      <w:b/>
      <w:bCs/>
      <w:sz w:val="28"/>
      <w:szCs w:val="28"/>
    </w:rPr>
  </w:style>
  <w:style w:type="character" w:customStyle="1" w:styleId="14">
    <w:name w:val="页脚 Char"/>
    <w:basedOn w:val="11"/>
    <w:link w:val="8"/>
    <w:uiPriority w:val="0"/>
    <w:rPr>
      <w:kern w:val="2"/>
      <w:sz w:val="18"/>
      <w:szCs w:val="18"/>
    </w:rPr>
  </w:style>
  <w:style w:type="character" w:customStyle="1" w:styleId="15">
    <w:name w:val="页眉 Char"/>
    <w:basedOn w:val="11"/>
    <w:link w:val="9"/>
    <w:uiPriority w:val="0"/>
    <w:rPr>
      <w:kern w:val="2"/>
      <w:sz w:val="18"/>
      <w:szCs w:val="18"/>
    </w:rPr>
  </w:style>
  <w:style w:type="paragraph" w:customStyle="1" w:styleId="16">
    <w:name w:val="_Style 9"/>
    <w:basedOn w:val="1"/>
    <w:uiPriority w:val="0"/>
    <w:pPr>
      <w:numPr>
        <w:ilvl w:val="0"/>
        <w:numId w:val="1"/>
      </w:numPr>
    </w:pPr>
  </w:style>
  <w:style w:type="paragraph" w:customStyle="1" w:styleId="17">
    <w:name w:val="正文缩进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216</Words>
  <Characters>1233</Characters>
  <Lines>10</Lines>
  <Paragraphs>2</Paragraphs>
  <TotalTime>1</TotalTime>
  <ScaleCrop>false</ScaleCrop>
  <LinksUpToDate>false</LinksUpToDate>
  <CharactersWithSpaces>1447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2022-01-02T05:43:00Z</dcterms:created>
  <dc:creator>clc</dc:creator>
  <cp:lastModifiedBy>区科技工业商务和信息化局</cp:lastModifiedBy>
  <cp:lastPrinted>2021-12-28T04:48:00Z</cp:lastPrinted>
  <dcterms:modified xsi:type="dcterms:W3CDTF">2024-01-10T06:51:09Z</dcterms:modified>
  <dc:title>穗科函字[2002]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4E46E0150DB4495592C186BA01B9D3D8</vt:lpwstr>
  </property>
</Properties>
</file>