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华文中宋" w:cs="Times New Roman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附件1：</w:t>
      </w:r>
    </w:p>
    <w:p>
      <w:pPr>
        <w:widowControl/>
        <w:spacing w:line="360" w:lineRule="auto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广州市白云区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农业技术与装备指导中心</w:t>
      </w:r>
    </w:p>
    <w:p>
      <w:pPr>
        <w:widowControl/>
        <w:jc w:val="center"/>
        <w:rPr>
          <w:rFonts w:ascii="Times New Roman" w:hAnsi="Times New Roman" w:cs="Times New Roman"/>
          <w:kern w:val="0"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kern w:val="0"/>
          <w:sz w:val="32"/>
          <w:szCs w:val="32"/>
        </w:rPr>
        <w:t>项目采购申请书</w:t>
      </w:r>
    </w:p>
    <w:bookmarkEnd w:id="0"/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spacing w:before="150" w:after="100" w:afterAutospacing="1" w:line="450" w:lineRule="atLeast"/>
        <w:ind w:left="1820" w:hanging="1820" w:hangingChars="65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28"/>
          <w:szCs w:val="28"/>
          <w:u w:val="single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项 目 名 称：</w:t>
      </w:r>
      <w:r>
        <w:rPr>
          <w:rFonts w:ascii="Times New Roman" w:hAnsi="Times New Roman" w:eastAsia="仿宋_GB2312" w:cs="Times New Roman"/>
          <w:color w:val="333333"/>
          <w:kern w:val="0"/>
          <w:sz w:val="28"/>
          <w:szCs w:val="28"/>
          <w:u w:val="single"/>
        </w:rPr>
        <w:t>广州市白云区</w:t>
      </w: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  <w:u w:val="single"/>
          <w:lang w:eastAsia="zh-CN"/>
        </w:rPr>
        <w:t>农业技术与装备指导中心</w:t>
      </w:r>
      <w:r>
        <w:rPr>
          <w:rFonts w:ascii="Times New Roman" w:hAnsi="Times New Roman" w:eastAsia="仿宋_GB2312" w:cs="Times New Roman"/>
          <w:color w:val="333333"/>
          <w:kern w:val="0"/>
          <w:sz w:val="28"/>
          <w:szCs w:val="28"/>
          <w:u w:val="single"/>
        </w:rPr>
        <w:t>采购</w:t>
      </w:r>
      <w:r>
        <w:rPr>
          <w:rFonts w:hint="eastAsia" w:ascii="Times New Roman" w:hAnsi="Times New Roman" w:eastAsia="仿宋_GB2312" w:cs="Times New Roman"/>
          <w:color w:val="333333"/>
          <w:kern w:val="0"/>
          <w:sz w:val="28"/>
          <w:szCs w:val="28"/>
          <w:u w:val="single"/>
          <w:lang w:eastAsia="zh-CN"/>
        </w:rPr>
        <w:t>草地贪夜蛾等昆虫监测防控设备</w:t>
      </w:r>
    </w:p>
    <w:p>
      <w:pPr>
        <w:widowControl/>
        <w:spacing w:before="150" w:after="100" w:afterAutospacing="1" w:line="450" w:lineRule="atLeas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项 目 负 责 人：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widowControl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负责人所在单位：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widowControl/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填  表  日  期：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>
      <w:pPr>
        <w:widowControl/>
        <w:spacing w:line="420" w:lineRule="auto"/>
        <w:ind w:right="574" w:firstLine="35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承诺书</w:t>
      </w:r>
    </w:p>
    <w:p>
      <w:pPr>
        <w:widowControl/>
        <w:spacing w:line="420" w:lineRule="auto"/>
        <w:ind w:left="1730" w:right="574" w:firstLine="7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before="150" w:after="100" w:afterAutospacing="1" w:line="450" w:lineRule="atLeast"/>
        <w:ind w:firstLine="560" w:firstLineChars="20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</w:rPr>
        <w:t>本《申请书》真实可信，本单位愿意在此《申请书》规定框架内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</w:t>
      </w:r>
      <w:r>
        <w:rPr>
          <w:rFonts w:hint="eastAsia" w:ascii="Times New Roman" w:hAnsi="Times New Roman" w:eastAsia="仿宋_GB2312" w:cs="Times New Roman"/>
          <w:sz w:val="28"/>
        </w:rPr>
        <w:t>认真做好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广州市白云区农业技术与装备指导中心</w:t>
      </w:r>
      <w:r>
        <w:rPr>
          <w:rFonts w:hint="eastAsia" w:ascii="Times New Roman" w:hAnsi="Times New Roman" w:eastAsia="仿宋_GB2312" w:cs="Times New Roman"/>
          <w:sz w:val="28"/>
        </w:rPr>
        <w:t>草地贪夜蛾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等昆虫监测防控设备采购工作</w:t>
      </w:r>
      <w:r>
        <w:rPr>
          <w:rFonts w:ascii="Times New Roman" w:hAnsi="Times New Roman" w:eastAsia="仿宋_GB2312" w:cs="Times New Roman"/>
          <w:sz w:val="28"/>
        </w:rPr>
        <w:t>，</w:t>
      </w:r>
      <w:r>
        <w:rPr>
          <w:rFonts w:hint="eastAsia" w:ascii="Times New Roman" w:hAnsi="Times New Roman" w:eastAsia="仿宋_GB2312" w:cs="Times New Roman"/>
          <w:sz w:val="28"/>
        </w:rPr>
        <w:t>确保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监测</w:t>
      </w:r>
      <w:r>
        <w:rPr>
          <w:rFonts w:hint="eastAsia" w:ascii="Times New Roman" w:hAnsi="Times New Roman" w:eastAsia="仿宋_GB2312" w:cs="Times New Roman"/>
          <w:sz w:val="28"/>
        </w:rPr>
        <w:t>防治效果达到</w:t>
      </w:r>
      <w:r>
        <w:rPr>
          <w:rFonts w:ascii="Times New Roman" w:hAnsi="Times New Roman" w:eastAsia="仿宋_GB2312" w:cs="Times New Roman"/>
          <w:sz w:val="28"/>
        </w:rPr>
        <w:t>预期</w:t>
      </w:r>
      <w:r>
        <w:rPr>
          <w:rFonts w:hint="eastAsia" w:ascii="Times New Roman" w:hAnsi="Times New Roman" w:eastAsia="仿宋_GB2312" w:cs="Times New Roman"/>
          <w:sz w:val="28"/>
        </w:rPr>
        <w:t>的目标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</w:p>
    <w:p>
      <w:pPr>
        <w:widowControl/>
        <w:spacing w:line="500" w:lineRule="atLeast"/>
        <w:ind w:firstLine="56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项目</w:t>
      </w:r>
      <w:r>
        <w:rPr>
          <w:rFonts w:ascii="Times New Roman" w:hAnsi="Times New Roman" w:cs="Times New Roman"/>
          <w:kern w:val="0"/>
          <w:sz w:val="28"/>
          <w:szCs w:val="28"/>
        </w:rPr>
        <w:t>负责人（签名）：</w:t>
      </w:r>
    </w:p>
    <w:p>
      <w:pPr>
        <w:widowControl/>
        <w:spacing w:line="500" w:lineRule="atLeas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日期：       年   月   日</w:t>
      </w:r>
    </w:p>
    <w:p>
      <w:pPr>
        <w:widowControl/>
        <w:spacing w:line="500" w:lineRule="atLeas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项目</w:t>
      </w:r>
      <w:r>
        <w:rPr>
          <w:rFonts w:ascii="Times New Roman" w:hAnsi="Times New Roman" w:cs="Times New Roman"/>
          <w:kern w:val="0"/>
          <w:sz w:val="28"/>
          <w:szCs w:val="28"/>
        </w:rPr>
        <w:t>负责人所在单位（公章）：</w:t>
      </w:r>
    </w:p>
    <w:p>
      <w:pPr>
        <w:widowControl/>
        <w:spacing w:line="500" w:lineRule="atLeast"/>
        <w:ind w:firstLine="280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280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500" w:lineRule="atLeast"/>
        <w:ind w:firstLine="56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日期：        年   月   日</w:t>
      </w:r>
    </w:p>
    <w:p>
      <w:pPr>
        <w:widowControl/>
        <w:spacing w:line="420" w:lineRule="auto"/>
        <w:ind w:left="1660" w:right="574" w:firstLine="14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420" w:lineRule="auto"/>
        <w:ind w:left="1660" w:right="574" w:firstLine="140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942"/>
        <w:gridCol w:w="1082"/>
        <w:gridCol w:w="197"/>
        <w:gridCol w:w="1423"/>
        <w:gridCol w:w="1138"/>
        <w:gridCol w:w="2231"/>
      </w:tblGrid>
      <w:tr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6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项目负责人与主要人员资格说明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提供产品的技术指标及参数，相应的检验、检测报告等。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20" w:lineRule="auto"/>
        <w:ind w:left="0" w:leftChars="0" w:right="-1226" w:rightChars="-584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</w:rPr>
        <w:t>情况介绍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主要介绍实施项目所具备的优势条件，包括单位情况介绍、技术力量、人员及产品优势、田间试验效果或成功应用案例等等。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sz w:val="28"/>
          <w:szCs w:val="28"/>
        </w:rPr>
        <w:t>项目</w:t>
      </w:r>
      <w:r>
        <w:rPr>
          <w:rFonts w:ascii="Times New Roman" w:hAnsi="Times New Roman" w:eastAsia="黑体" w:cs="Times New Roman"/>
          <w:sz w:val="28"/>
          <w:szCs w:val="28"/>
        </w:rPr>
        <w:t>经费概算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660"/>
        <w:gridCol w:w="14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pacing w:val="7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70"/>
                <w:sz w:val="24"/>
              </w:rPr>
              <w:t>开支科目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金    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比  例(%)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30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30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30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30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0"/>
                <w:sz w:val="24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4"/>
              </w:rPr>
              <w:t>合      计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报价单位</w:t>
      </w:r>
      <w:r>
        <w:rPr>
          <w:rFonts w:ascii="Times New Roman" w:hAnsi="Times New Roman" w:eastAsia="仿宋_GB2312" w:cs="Times New Roman"/>
          <w:sz w:val="32"/>
          <w:szCs w:val="32"/>
        </w:rPr>
        <w:t>名称（盖章）：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法定代表人（负责人）签名：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 投标报价单须提前密封，且密封骑缝加盖公章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投标人须按要求填写所有信息，不得随意更改本表格式。</w:t>
      </w:r>
    </w:p>
    <w:p>
      <w:pPr>
        <w:widowControl/>
        <w:wordWrap/>
        <w:spacing w:line="520" w:lineRule="exact"/>
        <w:ind w:firstLine="64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报价中必须包含货物及零配件的购置和安装、运输保险、装卸、培训辅导、质保期售后服务、全额含税发票、雇员费用、合同实施过程中应预见和不可预见费用等。所有价格均应以人民币报价，金额单位为元。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5A35"/>
    <w:rsid w:val="44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2024-02-21T06:46:00Z</dcterms:created>
  <dc:creator>王怀江</dc:creator>
  <cp:lastModifiedBy>王怀江</cp:lastModifiedBy>
  <dcterms:modified xsi:type="dcterms:W3CDTF">2024-02-21T06:46:14Z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E9C62B2AF9AC4DF995EDFF9593E2F230</vt:lpwstr>
  </property>
</Properties>
</file>