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附件5</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代理机构选定办法</w:t>
      </w:r>
    </w:p>
    <w:p>
      <w:pPr>
        <w:ind w:firstLine="643" w:firstLineChars="200"/>
        <w:rPr>
          <w:rFonts w:ascii="黑体" w:hAnsi="黑体" w:eastAsia="黑体" w:cs="黑体"/>
          <w:sz w:val="32"/>
          <w:szCs w:val="32"/>
        </w:rPr>
      </w:pPr>
      <w:r>
        <w:rPr>
          <w:rFonts w:hint="eastAsia" w:ascii="黑体" w:hAnsi="黑体" w:eastAsia="黑体" w:cs="黑体"/>
          <w:b/>
          <w:sz w:val="32"/>
          <w:szCs w:val="32"/>
        </w:rPr>
        <w:t>一、评选方法</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本次代理机构评选采取综合评分法。参加评选的代理机构需满足《</w:t>
      </w:r>
      <w:r>
        <w:rPr>
          <w:rFonts w:hint="eastAsia" w:ascii="Times New Roman" w:hAnsi="Times New Roman" w:eastAsia="仿宋_GB2312" w:cs="Times New Roman"/>
          <w:sz w:val="32"/>
          <w:szCs w:val="32"/>
          <w:lang w:val="en-US" w:eastAsia="zh-CN"/>
        </w:rPr>
        <w:t>白云湖街关于选取2024-2025年度白云湖社区及公共区域病媒生物防治消杀项目招标代理机构的公告</w:t>
      </w:r>
      <w:r>
        <w:rPr>
          <w:rFonts w:hint="default" w:ascii="Times New Roman" w:hAnsi="Times New Roman" w:eastAsia="仿宋_GB2312" w:cs="Times New Roman"/>
          <w:sz w:val="32"/>
          <w:szCs w:val="32"/>
          <w:lang w:val="en-US" w:eastAsia="zh-CN"/>
        </w:rPr>
        <w:t>》（以下简称“公告”）全部实质性要求，且按照评审因素的量化指标评审得分最高的候选机构为的评标方法。（最低报价不是中标的唯一依据。）</w:t>
      </w:r>
    </w:p>
    <w:p>
      <w:pPr>
        <w:ind w:firstLine="643" w:firstLineChars="200"/>
        <w:rPr>
          <w:rFonts w:ascii="黑体" w:hAnsi="黑体" w:eastAsia="黑体" w:cs="黑体"/>
          <w:sz w:val="32"/>
          <w:szCs w:val="32"/>
        </w:rPr>
      </w:pPr>
      <w:r>
        <w:rPr>
          <w:rFonts w:hint="eastAsia" w:ascii="黑体" w:hAnsi="黑体" w:eastAsia="黑体" w:cs="黑体"/>
          <w:b/>
          <w:sz w:val="32"/>
          <w:szCs w:val="32"/>
        </w:rPr>
        <w:t>二、评标原则</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评标活动遵循公平、公正、科学和择优的原则，以《</w:t>
      </w:r>
      <w:r>
        <w:rPr>
          <w:rFonts w:hint="eastAsia" w:ascii="Times New Roman" w:hAnsi="Times New Roman" w:eastAsia="仿宋_GB2312" w:cs="Times New Roman"/>
          <w:sz w:val="32"/>
          <w:szCs w:val="32"/>
          <w:lang w:val="en-US" w:eastAsia="zh-CN"/>
        </w:rPr>
        <w:t>白云湖街关于选取2024-2025年度白云湖社区及公共区域病媒生物防治消杀项目招标代理机构的公告</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报名</w:t>
      </w:r>
      <w:r>
        <w:rPr>
          <w:rFonts w:hint="default" w:ascii="Times New Roman" w:hAnsi="Times New Roman" w:eastAsia="仿宋_GB2312" w:cs="Times New Roman"/>
          <w:sz w:val="32"/>
          <w:szCs w:val="32"/>
          <w:lang w:val="en-US" w:eastAsia="zh-CN"/>
        </w:rPr>
        <w:t>文件为评标的基本依据，并按照</w:t>
      </w:r>
      <w:r>
        <w:rPr>
          <w:rFonts w:hint="eastAsia" w:ascii="Times New Roman" w:hAnsi="Times New Roman" w:eastAsia="仿宋_GB2312" w:cs="Times New Roman"/>
          <w:sz w:val="32"/>
          <w:szCs w:val="32"/>
          <w:lang w:val="en-US" w:eastAsia="zh-CN"/>
        </w:rPr>
        <w:t>《代理机构选定办法》</w:t>
      </w:r>
      <w:r>
        <w:rPr>
          <w:rFonts w:hint="default" w:ascii="Times New Roman" w:hAnsi="Times New Roman" w:eastAsia="仿宋_GB2312" w:cs="Times New Roman"/>
          <w:sz w:val="32"/>
          <w:szCs w:val="32"/>
          <w:lang w:val="en-US" w:eastAsia="zh-CN"/>
        </w:rPr>
        <w:t>规定的评标方法和评标标准进行评标。</w:t>
      </w:r>
    </w:p>
    <w:p>
      <w:pPr>
        <w:ind w:firstLine="643" w:firstLineChars="200"/>
        <w:rPr>
          <w:rFonts w:ascii="黑体" w:hAnsi="黑体" w:eastAsia="黑体" w:cs="黑体"/>
          <w:b/>
          <w:sz w:val="32"/>
          <w:szCs w:val="32"/>
        </w:rPr>
      </w:pPr>
      <w:r>
        <w:rPr>
          <w:rFonts w:hint="eastAsia" w:ascii="黑体" w:hAnsi="黑体" w:eastAsia="黑体" w:cs="黑体"/>
          <w:b/>
          <w:sz w:val="32"/>
          <w:szCs w:val="32"/>
        </w:rPr>
        <w:t>三、资格性审查及详细评审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资格性审查。报名时间结束后，由</w:t>
      </w:r>
      <w:r>
        <w:rPr>
          <w:rFonts w:hint="default" w:ascii="Times New Roman" w:hAnsi="Times New Roman" w:eastAsia="仿宋_GB2312" w:cs="Times New Roman"/>
          <w:sz w:val="32"/>
          <w:szCs w:val="32"/>
          <w:lang w:val="en-US" w:eastAsia="zh-CN"/>
        </w:rPr>
        <w:t>白云湖街公共服务办</w:t>
      </w:r>
      <w:r>
        <w:rPr>
          <w:rFonts w:ascii="Times New Roman" w:hAnsi="Times New Roman" w:eastAsia="仿宋_GB2312" w:cs="Times New Roman"/>
          <w:sz w:val="32"/>
          <w:szCs w:val="32"/>
        </w:rPr>
        <w:t>根据《报名单位提交资料一览表》（详见后附表一）对递交资料竞选的机构进行资格审查，以确定机构是否具备竞选资格。资格性审查中凡有其中任意一项未通过的，则评审结果为未通过，按无效竞选处理，不再参加详细评审环节。</w:t>
      </w:r>
    </w:p>
    <w:p>
      <w:pPr>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详细评审。</w:t>
      </w:r>
      <w:r>
        <w:rPr>
          <w:rFonts w:hint="default" w:ascii="Times New Roman" w:hAnsi="Times New Roman" w:eastAsia="仿宋_GB2312" w:cs="Times New Roman"/>
          <w:sz w:val="32"/>
          <w:szCs w:val="32"/>
          <w:lang w:val="en-US" w:eastAsia="zh-CN"/>
        </w:rPr>
        <w:t>白云湖街公共服务办</w:t>
      </w:r>
      <w:r>
        <w:rPr>
          <w:rFonts w:ascii="Times New Roman" w:hAnsi="Times New Roman" w:eastAsia="仿宋_GB2312" w:cs="Times New Roman"/>
          <w:sz w:val="32"/>
          <w:szCs w:val="32"/>
        </w:rPr>
        <w:t>依据公告规定，对竞选机构提交的资料进行详细评价及打分，</w:t>
      </w:r>
      <w:r>
        <w:rPr>
          <w:rFonts w:hint="eastAsia" w:ascii="Times New Roman" w:hAnsi="Times New Roman" w:eastAsia="仿宋_GB2312" w:cs="Times New Roman"/>
          <w:sz w:val="32"/>
          <w:szCs w:val="32"/>
          <w:lang w:val="en-US" w:eastAsia="zh-CN"/>
        </w:rPr>
        <w:t>并将评分结果</w:t>
      </w:r>
      <w:r>
        <w:rPr>
          <w:rFonts w:hint="default" w:ascii="Times New Roman" w:hAnsi="Times New Roman" w:eastAsia="仿宋_GB2312" w:cs="Times New Roman"/>
          <w:sz w:val="32"/>
          <w:szCs w:val="32"/>
          <w:lang w:val="en-US" w:eastAsia="zh-CN"/>
        </w:rPr>
        <w:t>报街道会议审定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择优选定代理机构</w:t>
      </w:r>
      <w:r>
        <w:rPr>
          <w:rFonts w:ascii="Times New Roman" w:hAnsi="Times New Roman" w:eastAsia="仿宋_GB2312" w:cs="Times New Roman"/>
          <w:sz w:val="32"/>
          <w:szCs w:val="32"/>
        </w:rPr>
        <w:t>。</w:t>
      </w:r>
    </w:p>
    <w:p>
      <w:pPr>
        <w:rPr>
          <w:rFonts w:ascii="Times New Roman" w:hAnsi="Times New Roman" w:cs="Times New Roman"/>
          <w:b/>
          <w:bCs/>
          <w:sz w:val="24"/>
        </w:rPr>
      </w:pPr>
      <w:r>
        <w:rPr>
          <w:rFonts w:ascii="Times New Roman" w:hAnsi="Times New Roman" w:cs="Times New Roman"/>
          <w:b/>
          <w:bCs/>
          <w:sz w:val="24"/>
        </w:rPr>
        <w:br w:type="page"/>
      </w:r>
    </w:p>
    <w:p>
      <w:pPr>
        <w:rPr>
          <w:rFonts w:ascii="Times New Roman" w:hAnsi="Times New Roman" w:cs="Times New Roman"/>
          <w:b/>
          <w:bCs/>
          <w:sz w:val="24"/>
        </w:rPr>
      </w:pPr>
    </w:p>
    <w:p>
      <w:pPr>
        <w:rPr>
          <w:rFonts w:hint="default" w:ascii="Times New Roman" w:hAnsi="Times New Roman" w:cs="Times New Roman"/>
          <w:sz w:val="24"/>
          <w:szCs w:val="24"/>
        </w:rPr>
      </w:pPr>
      <w:r>
        <w:rPr>
          <w:rFonts w:hint="default" w:ascii="Times New Roman" w:hAnsi="Times New Roman" w:cs="Times New Roman"/>
          <w:sz w:val="24"/>
          <w:szCs w:val="24"/>
        </w:rPr>
        <w:t>表一：报名单位提交资料一览表</w:t>
      </w:r>
    </w:p>
    <w:p>
      <w:pPr>
        <w:rPr>
          <w:rFonts w:ascii="Times New Roman" w:hAnsi="Times New Roman" w:cs="Times New Roman"/>
        </w:rPr>
      </w:pPr>
    </w:p>
    <w:tbl>
      <w:tblPr>
        <w:tblStyle w:val="5"/>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203"/>
        <w:gridCol w:w="1102"/>
        <w:gridCol w:w="1896"/>
        <w:gridCol w:w="15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741"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6"/>
                <w:szCs w:val="16"/>
              </w:rPr>
            </w:pPr>
            <w:r>
              <w:rPr>
                <w:rFonts w:ascii="Times New Roman" w:hAnsi="Times New Roman" w:cs="Times New Roman"/>
                <w:color w:val="auto"/>
                <w:kern w:val="0"/>
                <w:sz w:val="22"/>
                <w:szCs w:val="22"/>
              </w:rPr>
              <w:t>项目名称：</w:t>
            </w:r>
            <w:r>
              <w:rPr>
                <w:rFonts w:hint="eastAsia" w:ascii="Times New Roman" w:hAnsi="Times New Roman" w:cs="Times New Roman"/>
                <w:sz w:val="24"/>
              </w:rPr>
              <w:t>广州市白云区白云湖街道办事处2024-2025年度白云湖社区及公共区域病媒生物防治消杀项目</w:t>
            </w:r>
            <w:r>
              <w:rPr>
                <w:rFonts w:hint="eastAsia" w:ascii="Times New Roman" w:hAnsi="Times New Roman" w:cs="Times New Roman"/>
                <w:color w:val="0000FF"/>
                <w:sz w:val="22"/>
                <w:szCs w:val="22"/>
              </w:rPr>
              <w:t xml:space="preserve"> </w:t>
            </w:r>
            <w:r>
              <w:rPr>
                <w:rFonts w:ascii="Times New Roman" w:hAnsi="Times New Roman" w:cs="Times New Roman"/>
                <w:b/>
                <w:bCs/>
                <w:color w:val="0000FF"/>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41" w:type="dxa"/>
            <w:gridSpan w:val="6"/>
            <w:tcBorders>
              <w:top w:val="nil"/>
              <w:left w:val="nil"/>
              <w:bottom w:val="single" w:color="auto" w:sz="4" w:space="0"/>
              <w:right w:val="nil"/>
            </w:tcBorders>
            <w:vAlign w:val="center"/>
          </w:tcPr>
          <w:p>
            <w:pPr>
              <w:widowControl/>
              <w:spacing w:line="20" w:lineRule="atLeast"/>
              <w:rPr>
                <w:rFonts w:ascii="Times New Roman" w:hAnsi="Times New Roman" w:cs="Times New Roman"/>
                <w:kern w:val="0"/>
                <w:sz w:val="22"/>
                <w:szCs w:val="22"/>
              </w:rPr>
            </w:pPr>
            <w:r>
              <w:rPr>
                <w:rFonts w:hint="eastAsia" w:ascii="Times New Roman" w:hAnsi="Times New Roman" w:cs="Times New Roman"/>
                <w:kern w:val="0"/>
                <w:sz w:val="22"/>
                <w:szCs w:val="22"/>
              </w:rPr>
              <w:t>报名单位</w:t>
            </w:r>
            <w:r>
              <w:rPr>
                <w:rFonts w:ascii="Times New Roman" w:hAnsi="Times New Roman" w:cs="Times New Roman"/>
                <w:kern w:val="0"/>
                <w:sz w:val="22"/>
                <w:szCs w:val="22"/>
              </w:rPr>
              <w:t>（盖章）</w:t>
            </w:r>
            <w:r>
              <w:rPr>
                <w:rFonts w:hint="eastAsia" w:ascii="Times New Roman" w:hAnsi="Times New Roman"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序号</w:t>
            </w:r>
          </w:p>
        </w:tc>
        <w:tc>
          <w:tcPr>
            <w:tcW w:w="3203"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资料内容</w:t>
            </w:r>
          </w:p>
        </w:tc>
        <w:tc>
          <w:tcPr>
            <w:tcW w:w="1102"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内页码</w:t>
            </w:r>
          </w:p>
        </w:tc>
        <w:tc>
          <w:tcPr>
            <w:tcW w:w="1896"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报名提交资料要求</w:t>
            </w:r>
          </w:p>
        </w:tc>
        <w:tc>
          <w:tcPr>
            <w:tcW w:w="1570"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审核情况</w:t>
            </w:r>
          </w:p>
        </w:tc>
        <w:tc>
          <w:tcPr>
            <w:tcW w:w="124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rPr>
            </w:pPr>
            <w:r>
              <w:rPr>
                <w:rFonts w:ascii="Times New Roman" w:hAnsi="Times New Roman" w:cs="Times New Roman"/>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3203"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102"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896"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570" w:type="dxa"/>
            <w:tcBorders>
              <w:top w:val="single" w:color="auto" w:sz="4" w:space="0"/>
            </w:tcBorders>
            <w:vAlign w:val="center"/>
          </w:tcPr>
          <w:p>
            <w:pPr>
              <w:widowControl/>
              <w:spacing w:line="440" w:lineRule="exact"/>
              <w:jc w:val="center"/>
              <w:rPr>
                <w:rFonts w:ascii="Times New Roman" w:hAnsi="Times New Roman" w:cs="Times New Roman"/>
                <w:kern w:val="0"/>
                <w:sz w:val="16"/>
                <w:szCs w:val="16"/>
              </w:rPr>
            </w:pPr>
            <w:r>
              <w:rPr>
                <w:rFonts w:ascii="Times New Roman" w:hAnsi="Times New Roman" w:cs="Times New Roman"/>
                <w:kern w:val="0"/>
                <w:sz w:val="16"/>
                <w:szCs w:val="16"/>
              </w:rPr>
              <w:t>（此栏不需申请人填写）</w:t>
            </w:r>
          </w:p>
        </w:tc>
        <w:tc>
          <w:tcPr>
            <w:tcW w:w="124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0"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1</w:t>
            </w:r>
          </w:p>
        </w:tc>
        <w:tc>
          <w:tcPr>
            <w:tcW w:w="3203"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报名申请表（同以下资料装订为一本）</w:t>
            </w:r>
          </w:p>
        </w:tc>
        <w:tc>
          <w:tcPr>
            <w:tcW w:w="1102" w:type="dxa"/>
            <w:vAlign w:val="center"/>
          </w:tcPr>
          <w:p>
            <w:pPr>
              <w:widowControl/>
              <w:spacing w:line="440" w:lineRule="exact"/>
              <w:jc w:val="center"/>
              <w:rPr>
                <w:rFonts w:ascii="宋体" w:hAnsi="宋体" w:eastAsia="宋体" w:cs="宋体"/>
                <w:kern w:val="0"/>
                <w:sz w:val="24"/>
              </w:rPr>
            </w:pPr>
          </w:p>
        </w:tc>
        <w:tc>
          <w:tcPr>
            <w:tcW w:w="1896"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w:t>
            </w:r>
          </w:p>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（必交项）</w:t>
            </w:r>
          </w:p>
        </w:tc>
        <w:tc>
          <w:tcPr>
            <w:tcW w:w="1570" w:type="dxa"/>
            <w:vAlign w:val="center"/>
          </w:tcPr>
          <w:p>
            <w:pPr>
              <w:widowControl/>
              <w:spacing w:line="440" w:lineRule="exact"/>
              <w:rPr>
                <w:rFonts w:ascii="宋体" w:hAnsi="宋体" w:eastAsia="宋体" w:cs="宋体"/>
                <w:kern w:val="0"/>
                <w:sz w:val="24"/>
              </w:rPr>
            </w:pPr>
          </w:p>
        </w:tc>
        <w:tc>
          <w:tcPr>
            <w:tcW w:w="1240" w:type="dxa"/>
            <w:vAlign w:val="center"/>
          </w:tcPr>
          <w:p>
            <w:pPr>
              <w:widowControl/>
              <w:spacing w:line="440" w:lineRule="exac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30"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2</w:t>
            </w:r>
          </w:p>
        </w:tc>
        <w:tc>
          <w:tcPr>
            <w:tcW w:w="3203"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营业执照、资格证书</w:t>
            </w:r>
          </w:p>
        </w:tc>
        <w:tc>
          <w:tcPr>
            <w:tcW w:w="1102" w:type="dxa"/>
            <w:vAlign w:val="center"/>
          </w:tcPr>
          <w:p>
            <w:pPr>
              <w:widowControl/>
              <w:spacing w:line="440" w:lineRule="exact"/>
              <w:jc w:val="center"/>
              <w:rPr>
                <w:rFonts w:ascii="宋体" w:hAnsi="宋体" w:eastAsia="宋体" w:cs="宋体"/>
                <w:kern w:val="0"/>
                <w:sz w:val="24"/>
              </w:rPr>
            </w:pPr>
          </w:p>
        </w:tc>
        <w:tc>
          <w:tcPr>
            <w:tcW w:w="1896"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复印件（必交项）</w:t>
            </w:r>
          </w:p>
        </w:tc>
        <w:tc>
          <w:tcPr>
            <w:tcW w:w="1570" w:type="dxa"/>
            <w:vAlign w:val="center"/>
          </w:tcPr>
          <w:p>
            <w:pPr>
              <w:widowControl/>
              <w:spacing w:line="440" w:lineRule="exact"/>
              <w:rPr>
                <w:rFonts w:ascii="宋体" w:hAnsi="宋体" w:eastAsia="宋体" w:cs="宋体"/>
                <w:kern w:val="0"/>
                <w:sz w:val="24"/>
              </w:rPr>
            </w:pPr>
          </w:p>
        </w:tc>
        <w:tc>
          <w:tcPr>
            <w:tcW w:w="1240" w:type="dxa"/>
            <w:vAlign w:val="center"/>
          </w:tcPr>
          <w:p>
            <w:pPr>
              <w:widowControl/>
              <w:spacing w:line="440" w:lineRule="exac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0" w:type="dxa"/>
            <w:tcBorders>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3</w:t>
            </w:r>
          </w:p>
        </w:tc>
        <w:tc>
          <w:tcPr>
            <w:tcW w:w="3203" w:type="dxa"/>
            <w:tcBorders>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法定代表人证明书</w:t>
            </w:r>
          </w:p>
        </w:tc>
        <w:tc>
          <w:tcPr>
            <w:tcW w:w="1102" w:type="dxa"/>
            <w:tcBorders>
              <w:bottom w:val="single" w:color="auto" w:sz="4" w:space="0"/>
            </w:tcBorders>
            <w:vAlign w:val="center"/>
          </w:tcPr>
          <w:p>
            <w:pPr>
              <w:widowControl/>
              <w:spacing w:line="440" w:lineRule="exact"/>
              <w:jc w:val="center"/>
              <w:rPr>
                <w:rFonts w:ascii="宋体" w:hAnsi="宋体" w:eastAsia="宋体" w:cs="宋体"/>
                <w:kern w:val="0"/>
                <w:sz w:val="24"/>
              </w:rPr>
            </w:pPr>
          </w:p>
        </w:tc>
        <w:tc>
          <w:tcPr>
            <w:tcW w:w="1896" w:type="dxa"/>
            <w:tcBorders>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原件（必交项）</w:t>
            </w:r>
          </w:p>
        </w:tc>
        <w:tc>
          <w:tcPr>
            <w:tcW w:w="1570" w:type="dxa"/>
            <w:tcBorders>
              <w:bottom w:val="single" w:color="auto" w:sz="4" w:space="0"/>
            </w:tcBorders>
            <w:vAlign w:val="center"/>
          </w:tcPr>
          <w:p>
            <w:pPr>
              <w:widowControl/>
              <w:spacing w:line="440" w:lineRule="exact"/>
              <w:rPr>
                <w:rFonts w:ascii="宋体" w:hAnsi="宋体" w:eastAsia="宋体" w:cs="宋体"/>
                <w:kern w:val="0"/>
                <w:sz w:val="24"/>
              </w:rPr>
            </w:pPr>
          </w:p>
        </w:tc>
        <w:tc>
          <w:tcPr>
            <w:tcW w:w="1240" w:type="dxa"/>
            <w:tcBorders>
              <w:bottom w:val="single" w:color="auto" w:sz="4" w:space="0"/>
            </w:tcBorders>
            <w:vAlign w:val="center"/>
          </w:tcPr>
          <w:p>
            <w:pPr>
              <w:widowControl/>
              <w:spacing w:line="440" w:lineRule="exac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0" w:type="dxa"/>
            <w:tcBorders>
              <w:top w:val="single" w:color="auto" w:sz="4" w:space="0"/>
              <w:left w:val="single" w:color="auto" w:sz="4" w:space="0"/>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4</w:t>
            </w:r>
          </w:p>
        </w:tc>
        <w:tc>
          <w:tcPr>
            <w:tcW w:w="3203" w:type="dxa"/>
            <w:tcBorders>
              <w:top w:val="single" w:color="auto" w:sz="4" w:space="0"/>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授权委托书</w:t>
            </w:r>
          </w:p>
        </w:tc>
        <w:tc>
          <w:tcPr>
            <w:tcW w:w="1102" w:type="dxa"/>
            <w:tcBorders>
              <w:top w:val="single" w:color="auto" w:sz="4" w:space="0"/>
              <w:bottom w:val="single" w:color="auto" w:sz="4" w:space="0"/>
            </w:tcBorders>
            <w:vAlign w:val="center"/>
          </w:tcPr>
          <w:p>
            <w:pPr>
              <w:widowControl/>
              <w:spacing w:line="440" w:lineRule="exact"/>
              <w:jc w:val="center"/>
              <w:rPr>
                <w:rFonts w:ascii="宋体" w:hAnsi="宋体" w:eastAsia="宋体" w:cs="宋体"/>
                <w:kern w:val="0"/>
                <w:sz w:val="24"/>
              </w:rPr>
            </w:pPr>
          </w:p>
        </w:tc>
        <w:tc>
          <w:tcPr>
            <w:tcW w:w="1896" w:type="dxa"/>
            <w:tcBorders>
              <w:top w:val="single" w:color="auto" w:sz="4" w:space="0"/>
              <w:bottom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原件（必交项）</w:t>
            </w:r>
          </w:p>
        </w:tc>
        <w:tc>
          <w:tcPr>
            <w:tcW w:w="1570" w:type="dxa"/>
            <w:tcBorders>
              <w:top w:val="single" w:color="auto" w:sz="4" w:space="0"/>
              <w:bottom w:val="single" w:color="auto" w:sz="4" w:space="0"/>
            </w:tcBorders>
            <w:vAlign w:val="center"/>
          </w:tcPr>
          <w:p>
            <w:pPr>
              <w:widowControl/>
              <w:spacing w:line="440" w:lineRule="exact"/>
              <w:rPr>
                <w:rFonts w:ascii="宋体" w:hAnsi="宋体" w:eastAsia="宋体" w:cs="宋体"/>
                <w:kern w:val="0"/>
                <w:sz w:val="24"/>
              </w:rPr>
            </w:pPr>
          </w:p>
        </w:tc>
        <w:tc>
          <w:tcPr>
            <w:tcW w:w="1240" w:type="dxa"/>
            <w:tcBorders>
              <w:top w:val="single" w:color="auto" w:sz="4" w:space="0"/>
              <w:bottom w:val="single" w:color="auto" w:sz="4" w:space="0"/>
              <w:right w:val="single" w:color="auto" w:sz="4" w:space="0"/>
            </w:tcBorders>
            <w:vAlign w:val="center"/>
          </w:tcPr>
          <w:p>
            <w:pPr>
              <w:widowControl/>
              <w:spacing w:line="440" w:lineRule="exac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5</w:t>
            </w:r>
          </w:p>
        </w:tc>
        <w:tc>
          <w:tcPr>
            <w:tcW w:w="3203"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sz w:val="24"/>
                <w:shd w:val="clear" w:color="auto" w:fill="FFFFFF"/>
              </w:rPr>
              <w:t>在国家、广东省进行政府采购代理机构登记注册的有效证明材料</w:t>
            </w:r>
          </w:p>
        </w:tc>
        <w:tc>
          <w:tcPr>
            <w:tcW w:w="1102"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宋体" w:hAnsi="宋体" w:eastAsia="宋体" w:cs="宋体"/>
                <w:kern w:val="0"/>
                <w:sz w:val="24"/>
              </w:rPr>
            </w:pPr>
          </w:p>
        </w:tc>
        <w:tc>
          <w:tcPr>
            <w:tcW w:w="1896"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相关网页打印件（必交项）</w:t>
            </w:r>
          </w:p>
        </w:tc>
        <w:tc>
          <w:tcPr>
            <w:tcW w:w="1570" w:type="dxa"/>
            <w:tcBorders>
              <w:top w:val="single" w:color="auto" w:sz="4" w:space="0"/>
              <w:left w:val="single" w:color="auto" w:sz="4" w:space="0"/>
              <w:bottom w:val="nil"/>
              <w:right w:val="single" w:color="auto" w:sz="4" w:space="0"/>
            </w:tcBorders>
            <w:vAlign w:val="center"/>
          </w:tcPr>
          <w:p>
            <w:pPr>
              <w:widowControl/>
              <w:spacing w:line="440" w:lineRule="exact"/>
              <w:rPr>
                <w:rFonts w:ascii="宋体" w:hAnsi="宋体" w:eastAsia="宋体" w:cs="宋体"/>
                <w:kern w:val="0"/>
                <w:sz w:val="24"/>
              </w:rPr>
            </w:pPr>
          </w:p>
        </w:tc>
        <w:tc>
          <w:tcPr>
            <w:tcW w:w="1240" w:type="dxa"/>
            <w:tcBorders>
              <w:top w:val="single" w:color="auto" w:sz="4" w:space="0"/>
              <w:left w:val="single" w:color="auto" w:sz="4" w:space="0"/>
              <w:bottom w:val="nil"/>
              <w:right w:val="single" w:color="auto" w:sz="4" w:space="0"/>
            </w:tcBorders>
            <w:vAlign w:val="center"/>
          </w:tcPr>
          <w:p>
            <w:pPr>
              <w:widowControl/>
              <w:spacing w:line="440" w:lineRule="exac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6</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服务方案、项目团队及质量承诺</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原件（必交项）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eastAsia="宋体" w:cs="宋体"/>
                <w:kern w:val="0"/>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eastAsia="宋体" w:cs="宋体"/>
                <w:sz w:val="24"/>
              </w:rPr>
            </w:pPr>
            <w:r>
              <w:rPr>
                <w:rFonts w:hint="eastAsia" w:ascii="宋体" w:hAnsi="宋体" w:eastAsia="宋体" w:cs="宋体"/>
                <w:sz w:val="24"/>
              </w:rPr>
              <w:t>详细评审内容依据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tcBorders>
              <w:top w:val="single" w:color="auto" w:sz="4" w:space="0"/>
              <w:left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7</w:t>
            </w:r>
          </w:p>
        </w:tc>
        <w:tc>
          <w:tcPr>
            <w:tcW w:w="3203" w:type="dxa"/>
            <w:tcBorders>
              <w:top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sz w:val="24"/>
                <w:shd w:val="clear" w:color="auto" w:fill="FFFFFF"/>
              </w:rPr>
              <w:t>项目</w:t>
            </w:r>
            <w:r>
              <w:rPr>
                <w:rFonts w:hint="eastAsia" w:ascii="宋体" w:hAnsi="宋体" w:eastAsia="宋体" w:cs="宋体"/>
                <w:kern w:val="0"/>
                <w:sz w:val="24"/>
              </w:rPr>
              <w:t>业绩情况</w:t>
            </w:r>
            <w:r>
              <w:rPr>
                <w:rFonts w:hint="eastAsia" w:ascii="宋体" w:hAnsi="宋体" w:eastAsia="宋体" w:cs="宋体"/>
                <w:color w:val="000000" w:themeColor="text1"/>
                <w:kern w:val="0"/>
                <w:sz w:val="24"/>
                <w14:textFill>
                  <w14:solidFill>
                    <w14:schemeClr w14:val="tx1"/>
                  </w14:solidFill>
                </w14:textFill>
              </w:rPr>
              <w:t>（需提供代理过同类项目中标公示、</w:t>
            </w:r>
            <w:r>
              <w:rPr>
                <w:rFonts w:hint="eastAsia" w:ascii="宋体" w:hAnsi="宋体" w:eastAsia="宋体" w:cs="宋体"/>
                <w:kern w:val="0"/>
                <w:sz w:val="24"/>
              </w:rPr>
              <w:t>合同复印件等佐证材料）</w:t>
            </w:r>
          </w:p>
        </w:tc>
        <w:tc>
          <w:tcPr>
            <w:tcW w:w="1102" w:type="dxa"/>
            <w:tcBorders>
              <w:top w:val="single" w:color="auto" w:sz="4" w:space="0"/>
            </w:tcBorders>
            <w:vAlign w:val="center"/>
          </w:tcPr>
          <w:p>
            <w:pPr>
              <w:widowControl/>
              <w:spacing w:line="440" w:lineRule="exact"/>
              <w:jc w:val="center"/>
              <w:rPr>
                <w:rFonts w:ascii="宋体" w:hAnsi="宋体" w:eastAsia="宋体" w:cs="宋体"/>
                <w:kern w:val="0"/>
                <w:sz w:val="24"/>
              </w:rPr>
            </w:pPr>
          </w:p>
        </w:tc>
        <w:tc>
          <w:tcPr>
            <w:tcW w:w="1896" w:type="dxa"/>
            <w:tcBorders>
              <w:top w:val="single" w:color="auto" w:sz="4" w:space="0"/>
            </w:tcBorders>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原件（必交项）</w:t>
            </w:r>
          </w:p>
        </w:tc>
        <w:tc>
          <w:tcPr>
            <w:tcW w:w="1570" w:type="dxa"/>
            <w:tcBorders>
              <w:top w:val="single" w:color="auto" w:sz="4" w:space="0"/>
            </w:tcBorders>
            <w:vAlign w:val="center"/>
          </w:tcPr>
          <w:p>
            <w:pPr>
              <w:widowControl/>
              <w:spacing w:line="440" w:lineRule="exact"/>
              <w:rPr>
                <w:rFonts w:ascii="宋体" w:hAnsi="宋体" w:eastAsia="宋体" w:cs="宋体"/>
                <w:kern w:val="0"/>
                <w:sz w:val="24"/>
              </w:rPr>
            </w:pPr>
          </w:p>
        </w:tc>
        <w:tc>
          <w:tcPr>
            <w:tcW w:w="1240" w:type="dxa"/>
            <w:tcBorders>
              <w:top w:val="single" w:color="auto" w:sz="4" w:space="0"/>
              <w:right w:val="single" w:color="auto" w:sz="4" w:space="0"/>
            </w:tcBorders>
            <w:vAlign w:val="center"/>
          </w:tcPr>
          <w:p>
            <w:pPr>
              <w:widowControl/>
              <w:spacing w:line="440" w:lineRule="exact"/>
              <w:rPr>
                <w:rFonts w:ascii="宋体" w:hAnsi="宋体" w:eastAsia="宋体" w:cs="宋体"/>
                <w:sz w:val="24"/>
              </w:rPr>
            </w:pPr>
            <w:r>
              <w:rPr>
                <w:rFonts w:hint="eastAsia" w:ascii="宋体" w:hAnsi="宋体" w:eastAsia="宋体" w:cs="宋体"/>
                <w:sz w:val="24"/>
              </w:rPr>
              <w:t>详细评审内容依据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8</w:t>
            </w:r>
          </w:p>
        </w:tc>
        <w:tc>
          <w:tcPr>
            <w:tcW w:w="3203"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其他说明或证明材料（如行业</w:t>
            </w:r>
            <w:r>
              <w:rPr>
                <w:rFonts w:hint="eastAsia" w:ascii="宋体" w:hAnsi="宋体" w:eastAsia="宋体" w:cs="宋体"/>
                <w:sz w:val="24"/>
              </w:rPr>
              <w:t>相关荣誉证书；此项非必交项，可不提供</w:t>
            </w:r>
            <w:r>
              <w:rPr>
                <w:rFonts w:hint="eastAsia" w:ascii="宋体" w:hAnsi="宋体" w:eastAsia="宋体" w:cs="宋体"/>
                <w:kern w:val="0"/>
                <w:sz w:val="24"/>
              </w:rPr>
              <w:t>）</w:t>
            </w:r>
          </w:p>
        </w:tc>
        <w:tc>
          <w:tcPr>
            <w:tcW w:w="1102" w:type="dxa"/>
            <w:vAlign w:val="center"/>
          </w:tcPr>
          <w:p>
            <w:pPr>
              <w:widowControl/>
              <w:spacing w:line="440" w:lineRule="exact"/>
              <w:jc w:val="center"/>
              <w:rPr>
                <w:rFonts w:ascii="宋体" w:hAnsi="宋体" w:eastAsia="宋体" w:cs="宋体"/>
                <w:kern w:val="0"/>
                <w:sz w:val="24"/>
              </w:rPr>
            </w:pPr>
          </w:p>
        </w:tc>
        <w:tc>
          <w:tcPr>
            <w:tcW w:w="1896" w:type="dxa"/>
            <w:vAlign w:val="center"/>
          </w:tcPr>
          <w:p>
            <w:pPr>
              <w:widowControl/>
              <w:spacing w:line="440" w:lineRule="exact"/>
              <w:jc w:val="center"/>
              <w:rPr>
                <w:rFonts w:ascii="宋体" w:hAnsi="宋体" w:eastAsia="宋体" w:cs="宋体"/>
                <w:kern w:val="0"/>
                <w:sz w:val="24"/>
              </w:rPr>
            </w:pPr>
            <w:r>
              <w:rPr>
                <w:rFonts w:hint="eastAsia" w:ascii="宋体" w:hAnsi="宋体" w:eastAsia="宋体" w:cs="宋体"/>
                <w:kern w:val="0"/>
                <w:sz w:val="24"/>
              </w:rPr>
              <w:t>原件/复印件（非必交项）</w:t>
            </w:r>
          </w:p>
        </w:tc>
        <w:tc>
          <w:tcPr>
            <w:tcW w:w="1570" w:type="dxa"/>
            <w:vAlign w:val="center"/>
          </w:tcPr>
          <w:p>
            <w:pPr>
              <w:widowControl/>
              <w:spacing w:line="440" w:lineRule="exact"/>
              <w:rPr>
                <w:rFonts w:ascii="宋体" w:hAnsi="宋体" w:eastAsia="宋体" w:cs="宋体"/>
                <w:kern w:val="0"/>
                <w:sz w:val="24"/>
              </w:rPr>
            </w:pPr>
          </w:p>
        </w:tc>
        <w:tc>
          <w:tcPr>
            <w:tcW w:w="1240" w:type="dxa"/>
            <w:vAlign w:val="center"/>
          </w:tcPr>
          <w:p>
            <w:pPr>
              <w:widowControl/>
              <w:spacing w:line="440" w:lineRule="exact"/>
              <w:rPr>
                <w:rFonts w:ascii="宋体" w:hAnsi="宋体" w:eastAsia="宋体" w:cs="宋体"/>
                <w:kern w:val="0"/>
                <w:sz w:val="24"/>
              </w:rPr>
            </w:pPr>
            <w:r>
              <w:rPr>
                <w:rFonts w:hint="eastAsia" w:ascii="宋体" w:hAnsi="宋体" w:eastAsia="宋体" w:cs="宋体"/>
                <w:sz w:val="24"/>
              </w:rPr>
              <w:t>详细评审内容依据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1" w:type="dxa"/>
            <w:gridSpan w:val="4"/>
            <w:vAlign w:val="center"/>
          </w:tcPr>
          <w:p>
            <w:pPr>
              <w:widowControl/>
              <w:spacing w:line="44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是否通过资格性审查</w:t>
            </w:r>
          </w:p>
        </w:tc>
        <w:tc>
          <w:tcPr>
            <w:tcW w:w="1570" w:type="dxa"/>
            <w:vAlign w:val="center"/>
          </w:tcPr>
          <w:p>
            <w:pPr>
              <w:widowControl/>
              <w:spacing w:line="440" w:lineRule="exact"/>
              <w:rPr>
                <w:rFonts w:ascii="Times New Roman" w:hAnsi="Times New Roman" w:cs="Times New Roman"/>
                <w:kern w:val="0"/>
                <w:sz w:val="22"/>
                <w:szCs w:val="22"/>
              </w:rPr>
            </w:pPr>
          </w:p>
        </w:tc>
        <w:tc>
          <w:tcPr>
            <w:tcW w:w="1240" w:type="dxa"/>
            <w:vAlign w:val="center"/>
          </w:tcPr>
          <w:p>
            <w:pPr>
              <w:widowControl/>
              <w:spacing w:line="440" w:lineRule="exact"/>
              <w:rPr>
                <w:rFonts w:ascii="Times New Roman" w:hAnsi="Times New Roman" w:cs="Times New Roman"/>
                <w:sz w:val="22"/>
                <w:szCs w:val="22"/>
              </w:rPr>
            </w:pPr>
          </w:p>
        </w:tc>
      </w:tr>
    </w:tbl>
    <w:p>
      <w:pPr>
        <w:rPr>
          <w:rFonts w:ascii="Times New Roman" w:hAnsi="Times New Roman" w:cs="Times New Roman"/>
          <w:b/>
          <w:bCs/>
          <w:sz w:val="24"/>
        </w:rPr>
      </w:pPr>
      <w:r>
        <w:rPr>
          <w:rFonts w:ascii="Times New Roman" w:hAnsi="Times New Roman" w:cs="Times New Roman"/>
          <w:b/>
          <w:bCs/>
          <w:sz w:val="24"/>
        </w:rPr>
        <w:br w:type="page"/>
      </w:r>
    </w:p>
    <w:p>
      <w:pPr>
        <w:rPr>
          <w:rFonts w:ascii="Times New Roman" w:hAnsi="Times New Roman" w:cs="Times New Roman"/>
          <w:b/>
          <w:bCs/>
          <w:sz w:val="24"/>
        </w:rPr>
      </w:pPr>
    </w:p>
    <w:p>
      <w:pPr>
        <w:rPr>
          <w:rFonts w:hint="default" w:ascii="Times New Roman" w:hAnsi="Times New Roman" w:cs="Times New Roman"/>
          <w:sz w:val="24"/>
          <w:szCs w:val="24"/>
        </w:rPr>
      </w:pPr>
      <w:r>
        <w:rPr>
          <w:rFonts w:hint="default" w:ascii="Times New Roman" w:hAnsi="Times New Roman" w:cs="Times New Roman"/>
          <w:sz w:val="24"/>
          <w:szCs w:val="24"/>
        </w:rPr>
        <w:t>表二：详细评审打分表</w:t>
      </w:r>
    </w:p>
    <w:p>
      <w:pPr>
        <w:rPr>
          <w:rFonts w:ascii="Times New Roman" w:hAnsi="Times New Roman" w:cs="Times New Roman"/>
          <w:b/>
          <w:bCs/>
          <w:sz w:val="24"/>
        </w:rPr>
      </w:pPr>
    </w:p>
    <w:tbl>
      <w:tblPr>
        <w:tblStyle w:val="5"/>
        <w:tblW w:w="9870"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0"/>
        <w:gridCol w:w="5760"/>
        <w:gridCol w:w="1185"/>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740" w:type="dxa"/>
            <w:vAlign w:val="center"/>
          </w:tcPr>
          <w:p>
            <w:pPr>
              <w:jc w:val="center"/>
              <w:rPr>
                <w:rFonts w:ascii="仿宋" w:hAnsi="仿宋" w:eastAsia="仿宋" w:cs="仿宋"/>
                <w:b/>
                <w:bCs/>
                <w:sz w:val="24"/>
              </w:rPr>
            </w:pPr>
            <w:r>
              <w:rPr>
                <w:rFonts w:hint="eastAsia" w:ascii="仿宋" w:hAnsi="仿宋" w:eastAsia="仿宋" w:cs="仿宋"/>
                <w:b/>
                <w:bCs/>
                <w:sz w:val="24"/>
              </w:rPr>
              <w:t>评审内容</w:t>
            </w:r>
          </w:p>
        </w:tc>
        <w:tc>
          <w:tcPr>
            <w:tcW w:w="5760" w:type="dxa"/>
            <w:vAlign w:val="center"/>
          </w:tcPr>
          <w:p>
            <w:pPr>
              <w:jc w:val="center"/>
              <w:rPr>
                <w:rFonts w:ascii="仿宋" w:hAnsi="仿宋" w:eastAsia="仿宋" w:cs="仿宋"/>
                <w:b/>
                <w:bCs/>
                <w:sz w:val="24"/>
              </w:rPr>
            </w:pPr>
            <w:r>
              <w:rPr>
                <w:rFonts w:hint="eastAsia" w:ascii="仿宋" w:hAnsi="仿宋" w:eastAsia="仿宋" w:cs="仿宋"/>
                <w:b/>
                <w:bCs/>
                <w:sz w:val="24"/>
              </w:rPr>
              <w:t>打分标准</w:t>
            </w:r>
          </w:p>
        </w:tc>
        <w:tc>
          <w:tcPr>
            <w:tcW w:w="1185" w:type="dxa"/>
            <w:vAlign w:val="center"/>
          </w:tcPr>
          <w:p>
            <w:pPr>
              <w:jc w:val="center"/>
              <w:rPr>
                <w:rFonts w:ascii="仿宋" w:hAnsi="仿宋" w:eastAsia="仿宋" w:cs="仿宋"/>
                <w:b/>
                <w:bCs/>
                <w:sz w:val="24"/>
              </w:rPr>
            </w:pPr>
            <w:r>
              <w:rPr>
                <w:rFonts w:hint="eastAsia" w:ascii="仿宋" w:hAnsi="仿宋" w:eastAsia="仿宋" w:cs="仿宋"/>
                <w:b/>
                <w:bCs/>
                <w:sz w:val="24"/>
              </w:rPr>
              <w:t>得分情况</w:t>
            </w:r>
          </w:p>
        </w:tc>
        <w:tc>
          <w:tcPr>
            <w:tcW w:w="1185"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trPr>
        <w:tc>
          <w:tcPr>
            <w:tcW w:w="9870" w:type="dxa"/>
            <w:gridSpan w:val="4"/>
            <w:vAlign w:val="center"/>
          </w:tcPr>
          <w:p>
            <w:pPr>
              <w:jc w:val="left"/>
              <w:rPr>
                <w:rFonts w:ascii="仿宋" w:hAnsi="仿宋" w:eastAsia="仿宋" w:cs="仿宋"/>
                <w:b/>
                <w:bCs/>
                <w:sz w:val="24"/>
              </w:rPr>
            </w:pPr>
            <w:r>
              <w:rPr>
                <w:rFonts w:hint="eastAsia" w:ascii="仿宋" w:hAnsi="仿宋" w:eastAsia="仿宋" w:cs="仿宋"/>
                <w:b/>
                <w:bCs/>
                <w:sz w:val="24"/>
              </w:rPr>
              <w:t>一、企业能力、业绩</w:t>
            </w:r>
            <w:r>
              <w:rPr>
                <w:rFonts w:ascii="仿宋" w:hAnsi="仿宋" w:eastAsia="仿宋" w:cs="仿宋"/>
                <w:b/>
                <w:bCs/>
                <w:sz w:val="24"/>
              </w:rPr>
              <w:t>45</w:t>
            </w:r>
            <w:r>
              <w:rPr>
                <w:rFonts w:hint="eastAsia" w:ascii="仿宋" w:hAnsi="仿宋" w:eastAsia="仿宋" w:cs="仿宋"/>
                <w:b/>
                <w:bCs/>
                <w:sz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33" w:hRule="atLeast"/>
        </w:trPr>
        <w:tc>
          <w:tcPr>
            <w:tcW w:w="1740" w:type="dxa"/>
            <w:tcBorders>
              <w:right w:val="single" w:color="auto" w:sz="4" w:space="0"/>
            </w:tcBorders>
            <w:vAlign w:val="center"/>
          </w:tcPr>
          <w:p>
            <w:pPr>
              <w:rPr>
                <w:rFonts w:ascii="仿宋" w:hAnsi="仿宋" w:eastAsia="仿宋" w:cs="仿宋"/>
                <w:sz w:val="24"/>
                <w:shd w:val="clear" w:color="auto" w:fill="FFFFFF"/>
              </w:rPr>
            </w:pPr>
            <w:r>
              <w:rPr>
                <w:rFonts w:hint="eastAsia" w:ascii="仿宋" w:hAnsi="仿宋" w:eastAsia="仿宋" w:cs="仿宋"/>
                <w:sz w:val="24"/>
                <w:shd w:val="clear" w:color="auto" w:fill="FFFFFF"/>
              </w:rPr>
              <w:t>公司业务能力</w:t>
            </w:r>
          </w:p>
          <w:p>
            <w:pPr>
              <w:rPr>
                <w:rFonts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（总分值6分）</w:t>
            </w:r>
          </w:p>
        </w:tc>
        <w:tc>
          <w:tcPr>
            <w:tcW w:w="5760" w:type="dxa"/>
            <w:tcBorders>
              <w:left w:val="single" w:color="auto" w:sz="4" w:space="0"/>
            </w:tcBorders>
            <w:vAlign w:val="center"/>
          </w:tcPr>
          <w:p>
            <w:pPr>
              <w:numPr>
                <w:ilvl w:val="0"/>
                <w:numId w:val="1"/>
              </w:numPr>
              <w:rPr>
                <w:rFonts w:ascii="仿宋" w:hAnsi="仿宋" w:eastAsia="仿宋" w:cs="仿宋"/>
                <w:sz w:val="24"/>
              </w:rPr>
            </w:pPr>
            <w:r>
              <w:rPr>
                <w:rFonts w:hint="eastAsia" w:ascii="仿宋" w:hAnsi="仿宋" w:eastAsia="仿宋" w:cs="仿宋"/>
                <w:sz w:val="24"/>
              </w:rPr>
              <w:t>综合业务能力佳，管理制度完善，管理水平、本地化服务水平较高得6分</w:t>
            </w:r>
          </w:p>
          <w:p>
            <w:pPr>
              <w:numPr>
                <w:ilvl w:val="0"/>
                <w:numId w:val="1"/>
              </w:numPr>
              <w:rPr>
                <w:rFonts w:ascii="仿宋" w:hAnsi="仿宋" w:eastAsia="仿宋" w:cs="仿宋"/>
                <w:sz w:val="24"/>
              </w:rPr>
            </w:pPr>
            <w:r>
              <w:rPr>
                <w:rFonts w:hint="eastAsia" w:ascii="仿宋" w:hAnsi="仿宋" w:eastAsia="仿宋" w:cs="仿宋"/>
                <w:sz w:val="24"/>
              </w:rPr>
              <w:t>综合业务能力较好，管理制度完善，管理水平、本地化服务水平良好得3分</w:t>
            </w:r>
          </w:p>
          <w:p>
            <w:pPr>
              <w:numPr>
                <w:ilvl w:val="0"/>
                <w:numId w:val="1"/>
              </w:numPr>
              <w:rPr>
                <w:rFonts w:ascii="仿宋" w:hAnsi="仿宋" w:eastAsia="仿宋" w:cs="仿宋"/>
                <w:sz w:val="24"/>
              </w:rPr>
            </w:pPr>
            <w:r>
              <w:rPr>
                <w:rFonts w:hint="eastAsia" w:ascii="仿宋" w:hAnsi="仿宋" w:eastAsia="仿宋" w:cs="仿宋"/>
                <w:sz w:val="24"/>
              </w:rPr>
              <w:t>综合业务能力一般，管理水平、本地化服务水平一般得1分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0" w:hRule="atLeast"/>
        </w:trPr>
        <w:tc>
          <w:tcPr>
            <w:tcW w:w="1740" w:type="dxa"/>
            <w:vMerge w:val="restart"/>
            <w:tcBorders>
              <w:right w:val="single" w:color="auto" w:sz="4" w:space="0"/>
            </w:tcBorders>
            <w:vAlign w:val="center"/>
          </w:tcPr>
          <w:p>
            <w:pPr>
              <w:numPr>
                <w:ilvl w:val="255"/>
                <w:numId w:val="0"/>
              </w:numPr>
              <w:rPr>
                <w:rFonts w:ascii="仿宋" w:hAnsi="仿宋" w:eastAsia="仿宋" w:cs="仿宋"/>
                <w:sz w:val="24"/>
              </w:rPr>
            </w:pPr>
            <w:r>
              <w:rPr>
                <w:rFonts w:hint="eastAsia" w:ascii="仿宋" w:hAnsi="仿宋" w:eastAsia="仿宋" w:cs="仿宋"/>
                <w:sz w:val="24"/>
              </w:rPr>
              <w:t>专业化配套设施</w:t>
            </w:r>
            <w:r>
              <w:rPr>
                <w:rFonts w:hint="eastAsia" w:ascii="仿宋" w:hAnsi="仿宋" w:eastAsia="仿宋" w:cs="仿宋"/>
                <w:color w:val="000000" w:themeColor="text1"/>
                <w:kern w:val="0"/>
                <w:sz w:val="24"/>
                <w14:textFill>
                  <w14:solidFill>
                    <w14:schemeClr w14:val="tx1"/>
                  </w14:solidFill>
                </w14:textFill>
              </w:rPr>
              <w:t>（总分值12分）</w:t>
            </w:r>
          </w:p>
        </w:tc>
        <w:tc>
          <w:tcPr>
            <w:tcW w:w="5760" w:type="dxa"/>
            <w:tcBorders>
              <w:left w:val="single" w:color="auto" w:sz="4" w:space="0"/>
            </w:tcBorders>
            <w:vAlign w:val="center"/>
          </w:tcPr>
          <w:p>
            <w:pPr>
              <w:numPr>
                <w:ilvl w:val="255"/>
                <w:numId w:val="0"/>
              </w:numPr>
              <w:adjustRightInd w:val="0"/>
              <w:snapToGrid w:val="0"/>
              <w:spacing w:line="360" w:lineRule="auto"/>
              <w:rPr>
                <w:rFonts w:ascii="仿宋" w:hAnsi="仿宋" w:eastAsia="仿宋" w:cs="仿宋"/>
                <w:sz w:val="24"/>
              </w:rPr>
            </w:pPr>
            <w:r>
              <w:rPr>
                <w:rFonts w:hint="eastAsia" w:ascii="仿宋" w:hAnsi="仿宋" w:eastAsia="仿宋" w:cs="仿宋"/>
                <w:sz w:val="24"/>
              </w:rPr>
              <w:t>投标人具有履行合同所必须的设备和专业技术能力，在广州市区设有合乎规定标准的固定的经营场地面积情况：</w:t>
            </w:r>
          </w:p>
          <w:p>
            <w:pPr>
              <w:numPr>
                <w:ilvl w:val="0"/>
                <w:numId w:val="2"/>
              </w:numPr>
              <w:adjustRightInd w:val="0"/>
              <w:snapToGrid w:val="0"/>
              <w:spacing w:line="360" w:lineRule="auto"/>
              <w:rPr>
                <w:rFonts w:ascii="仿宋" w:hAnsi="仿宋" w:eastAsia="仿宋" w:cs="仿宋"/>
                <w:sz w:val="24"/>
              </w:rPr>
            </w:pPr>
            <w:r>
              <w:rPr>
                <w:rFonts w:hint="eastAsia" w:ascii="仿宋" w:hAnsi="仿宋" w:eastAsia="仿宋" w:cs="仿宋"/>
                <w:sz w:val="24"/>
              </w:rPr>
              <w:t>场地面积≥800平方米，得8分；</w:t>
            </w:r>
          </w:p>
          <w:p>
            <w:pPr>
              <w:numPr>
                <w:ilvl w:val="0"/>
                <w:numId w:val="2"/>
              </w:numPr>
              <w:adjustRightInd w:val="0"/>
              <w:snapToGrid w:val="0"/>
              <w:spacing w:line="360" w:lineRule="auto"/>
              <w:rPr>
                <w:rFonts w:ascii="仿宋" w:hAnsi="仿宋" w:eastAsia="仿宋" w:cs="仿宋"/>
                <w:sz w:val="24"/>
              </w:rPr>
            </w:pPr>
            <w:r>
              <w:rPr>
                <w:rFonts w:hint="eastAsia" w:ascii="仿宋" w:hAnsi="仿宋" w:eastAsia="仿宋" w:cs="仿宋"/>
                <w:sz w:val="24"/>
              </w:rPr>
              <w:t>600≤场地面积&lt;800平方米，得5分；</w:t>
            </w:r>
          </w:p>
          <w:p>
            <w:pPr>
              <w:numPr>
                <w:ilvl w:val="0"/>
                <w:numId w:val="2"/>
              </w:numPr>
              <w:adjustRightInd w:val="0"/>
              <w:snapToGrid w:val="0"/>
              <w:spacing w:line="360" w:lineRule="auto"/>
              <w:rPr>
                <w:rFonts w:ascii="仿宋" w:hAnsi="仿宋" w:eastAsia="仿宋" w:cs="仿宋"/>
                <w:sz w:val="24"/>
              </w:rPr>
            </w:pPr>
            <w:r>
              <w:rPr>
                <w:rFonts w:hint="eastAsia" w:ascii="仿宋" w:hAnsi="仿宋" w:eastAsia="仿宋" w:cs="仿宋"/>
                <w:sz w:val="24"/>
              </w:rPr>
              <w:t>场地面积&lt;600平方米，得2分。</w:t>
            </w:r>
          </w:p>
          <w:p>
            <w:pPr>
              <w:numPr>
                <w:ilvl w:val="255"/>
                <w:numId w:val="0"/>
              </w:numPr>
              <w:rPr>
                <w:rFonts w:ascii="仿宋" w:hAnsi="仿宋" w:eastAsia="仿宋" w:cs="仿宋"/>
                <w:sz w:val="24"/>
              </w:rPr>
            </w:pPr>
            <w:r>
              <w:rPr>
                <w:rFonts w:hint="eastAsia" w:ascii="仿宋" w:hAnsi="仿宋" w:eastAsia="仿宋" w:cs="仿宋"/>
                <w:sz w:val="24"/>
              </w:rPr>
              <w:t>（注：须提供房产证或租赁合同等证明材料，未提供不得分）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69" w:hRule="atLeast"/>
        </w:trPr>
        <w:tc>
          <w:tcPr>
            <w:tcW w:w="1740" w:type="dxa"/>
            <w:vMerge w:val="continue"/>
            <w:tcBorders>
              <w:right w:val="single" w:color="auto" w:sz="4" w:space="0"/>
            </w:tcBorders>
            <w:vAlign w:val="center"/>
          </w:tcPr>
          <w:p>
            <w:pPr>
              <w:numPr>
                <w:ilvl w:val="0"/>
                <w:numId w:val="1"/>
              </w:numPr>
              <w:rPr>
                <w:rFonts w:ascii="仿宋" w:hAnsi="仿宋" w:eastAsia="仿宋" w:cs="仿宋"/>
                <w:sz w:val="24"/>
              </w:rPr>
            </w:pPr>
          </w:p>
        </w:tc>
        <w:tc>
          <w:tcPr>
            <w:tcW w:w="5760" w:type="dxa"/>
            <w:tcBorders>
              <w:left w:val="single" w:color="auto" w:sz="4" w:space="0"/>
            </w:tcBorders>
            <w:vAlign w:val="center"/>
          </w:tcPr>
          <w:p>
            <w:pPr>
              <w:numPr>
                <w:ilvl w:val="255"/>
                <w:numId w:val="0"/>
              </w:numPr>
              <w:adjustRightInd w:val="0"/>
              <w:snapToGrid w:val="0"/>
              <w:spacing w:line="360" w:lineRule="auto"/>
              <w:rPr>
                <w:rFonts w:ascii="仿宋" w:hAnsi="仿宋" w:eastAsia="仿宋" w:cs="仿宋"/>
                <w:sz w:val="24"/>
              </w:rPr>
            </w:pPr>
            <w:r>
              <w:rPr>
                <w:rFonts w:hint="eastAsia" w:ascii="仿宋" w:hAnsi="仿宋" w:eastAsia="仿宋" w:cs="仿宋"/>
                <w:sz w:val="24"/>
              </w:rPr>
              <w:t>投标人具有开评标会议室，且具备计算机设备及监控系统情况：</w:t>
            </w:r>
          </w:p>
          <w:p>
            <w:pPr>
              <w:numPr>
                <w:ilvl w:val="0"/>
                <w:numId w:val="3"/>
              </w:numPr>
              <w:adjustRightInd w:val="0"/>
              <w:snapToGrid w:val="0"/>
              <w:spacing w:line="360" w:lineRule="auto"/>
              <w:rPr>
                <w:rFonts w:ascii="仿宋" w:hAnsi="仿宋" w:eastAsia="仿宋" w:cs="仿宋"/>
                <w:sz w:val="24"/>
              </w:rPr>
            </w:pPr>
            <w:r>
              <w:rPr>
                <w:rFonts w:hint="eastAsia" w:ascii="仿宋" w:hAnsi="仿宋" w:eastAsia="仿宋" w:cs="仿宋"/>
                <w:sz w:val="24"/>
              </w:rPr>
              <w:t>开评标会议室≥7间，得</w:t>
            </w:r>
            <w:r>
              <w:rPr>
                <w:rFonts w:ascii="仿宋" w:hAnsi="仿宋" w:eastAsia="仿宋" w:cs="仿宋"/>
                <w:sz w:val="24"/>
              </w:rPr>
              <w:t>4</w:t>
            </w:r>
            <w:r>
              <w:rPr>
                <w:rFonts w:hint="eastAsia" w:ascii="仿宋" w:hAnsi="仿宋" w:eastAsia="仿宋" w:cs="仿宋"/>
                <w:sz w:val="24"/>
              </w:rPr>
              <w:t>分；</w:t>
            </w:r>
          </w:p>
          <w:p>
            <w:pPr>
              <w:numPr>
                <w:ilvl w:val="0"/>
                <w:numId w:val="3"/>
              </w:numPr>
              <w:adjustRightInd w:val="0"/>
              <w:snapToGrid w:val="0"/>
              <w:spacing w:line="360" w:lineRule="auto"/>
              <w:rPr>
                <w:rFonts w:ascii="仿宋" w:hAnsi="仿宋" w:eastAsia="仿宋" w:cs="仿宋"/>
                <w:sz w:val="24"/>
              </w:rPr>
            </w:pPr>
            <w:r>
              <w:rPr>
                <w:rFonts w:hint="eastAsia" w:ascii="仿宋" w:hAnsi="仿宋" w:eastAsia="仿宋" w:cs="仿宋"/>
                <w:sz w:val="24"/>
              </w:rPr>
              <w:t>4间≤开评标会议室＜7间，得2分；</w:t>
            </w:r>
          </w:p>
          <w:p>
            <w:pPr>
              <w:numPr>
                <w:ilvl w:val="0"/>
                <w:numId w:val="3"/>
              </w:numPr>
              <w:adjustRightInd w:val="0"/>
              <w:snapToGrid w:val="0"/>
              <w:spacing w:line="360" w:lineRule="auto"/>
              <w:rPr>
                <w:rFonts w:ascii="仿宋" w:hAnsi="仿宋" w:eastAsia="仿宋" w:cs="仿宋"/>
                <w:sz w:val="24"/>
              </w:rPr>
            </w:pPr>
            <w:r>
              <w:rPr>
                <w:rFonts w:hint="eastAsia" w:ascii="仿宋" w:hAnsi="仿宋" w:eastAsia="仿宋" w:cs="仿宋"/>
                <w:sz w:val="24"/>
              </w:rPr>
              <w:t>开评标会议室＜4间，得1分。</w:t>
            </w:r>
          </w:p>
          <w:p>
            <w:pPr>
              <w:numPr>
                <w:ilvl w:val="255"/>
                <w:numId w:val="0"/>
              </w:numPr>
              <w:rPr>
                <w:rFonts w:ascii="仿宋" w:hAnsi="仿宋" w:eastAsia="仿宋" w:cs="仿宋"/>
                <w:sz w:val="24"/>
              </w:rPr>
            </w:pPr>
            <w:r>
              <w:rPr>
                <w:rFonts w:hint="eastAsia" w:ascii="仿宋" w:hAnsi="仿宋" w:eastAsia="仿宋" w:cs="仿宋"/>
                <w:sz w:val="24"/>
              </w:rPr>
              <w:t>（注：须提供开评标室图片证明，未提供不得分）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57" w:hRule="atLeast"/>
        </w:trPr>
        <w:tc>
          <w:tcPr>
            <w:tcW w:w="1740" w:type="dxa"/>
            <w:tcBorders>
              <w:right w:val="single" w:color="auto" w:sz="4" w:space="0"/>
            </w:tcBorders>
            <w:vAlign w:val="center"/>
          </w:tcPr>
          <w:p>
            <w:pPr>
              <w:rPr>
                <w:rFonts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2017年1月1日至今代理过同类项目（总分值10分）</w:t>
            </w:r>
          </w:p>
        </w:tc>
        <w:tc>
          <w:tcPr>
            <w:tcW w:w="5760" w:type="dxa"/>
            <w:tcBorders>
              <w:lef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2017年1月1日至今</w:t>
            </w:r>
            <w:r>
              <w:rPr>
                <w:rFonts w:hint="eastAsia" w:ascii="仿宋" w:hAnsi="仿宋" w:eastAsia="仿宋" w:cs="仿宋"/>
                <w:color w:val="000000" w:themeColor="text1"/>
                <w:sz w:val="24"/>
                <w14:textFill>
                  <w14:solidFill>
                    <w14:schemeClr w14:val="tx1"/>
                  </w14:solidFill>
                </w14:textFill>
              </w:rPr>
              <w:t>（以中标公示时间为准）有承担类似</w:t>
            </w:r>
            <w:r>
              <w:rPr>
                <w:rFonts w:hint="eastAsia" w:ascii="仿宋" w:hAnsi="仿宋" w:eastAsia="仿宋" w:cs="仿宋"/>
                <w:color w:val="000000" w:themeColor="text1"/>
                <w:kern w:val="0"/>
                <w:sz w:val="24"/>
                <w14:textFill>
                  <w14:solidFill>
                    <w14:schemeClr w14:val="tx1"/>
                  </w14:solidFill>
                </w14:textFill>
              </w:rPr>
              <w:t>消杀项目</w:t>
            </w:r>
            <w:r>
              <w:rPr>
                <w:rFonts w:hint="eastAsia" w:ascii="仿宋" w:hAnsi="仿宋" w:eastAsia="仿宋" w:cs="仿宋"/>
                <w:color w:val="000000" w:themeColor="text1"/>
                <w:sz w:val="24"/>
                <w14:textFill>
                  <w14:solidFill>
                    <w14:schemeClr w14:val="tx1"/>
                  </w14:solidFill>
                </w14:textFill>
              </w:rPr>
              <w:t>招标代理业绩，每提供一项业绩得2.5分，最高得10分。</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须提供</w:t>
            </w:r>
            <w:r>
              <w:rPr>
                <w:rFonts w:hint="eastAsia" w:ascii="仿宋" w:hAnsi="仿宋" w:eastAsia="仿宋" w:cs="仿宋"/>
                <w:color w:val="000000" w:themeColor="text1"/>
                <w:kern w:val="0"/>
                <w:sz w:val="24"/>
                <w14:textFill>
                  <w14:solidFill>
                    <w14:schemeClr w14:val="tx1"/>
                  </w14:solidFill>
                </w14:textFill>
              </w:rPr>
              <w:t>中标公示、合同复印件、中标/成交通知书等佐证材料，否则不得分。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5" w:hRule="atLeast"/>
        </w:trPr>
        <w:tc>
          <w:tcPr>
            <w:tcW w:w="1740" w:type="dxa"/>
            <w:tcBorders>
              <w:right w:val="single" w:color="auto" w:sz="4" w:space="0"/>
            </w:tcBorders>
            <w:vAlign w:val="center"/>
          </w:tcPr>
          <w:p>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客户评价情况</w:t>
            </w:r>
          </w:p>
          <w:p>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（总分值2分）</w:t>
            </w:r>
          </w:p>
        </w:tc>
        <w:tc>
          <w:tcPr>
            <w:tcW w:w="5760" w:type="dxa"/>
            <w:tcBorders>
              <w:left w:val="single" w:color="auto" w:sz="4" w:space="0"/>
            </w:tcBorders>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具有上述同类项目，获得项目用户考核评价为正面评价（优秀、优良、良好、满意或相当于类似评价，且须有评价单位盖章）的证明文件复印件，每提供一份证明材料得0.5分，最高得2分。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5" w:hRule="atLeast"/>
        </w:trPr>
        <w:tc>
          <w:tcPr>
            <w:tcW w:w="1740" w:type="dxa"/>
            <w:tcBorders>
              <w:right w:val="single" w:color="auto" w:sz="4" w:space="0"/>
            </w:tcBorders>
            <w:vAlign w:val="center"/>
          </w:tcPr>
          <w:p>
            <w:pPr>
              <w:rPr>
                <w:rFonts w:ascii="仿宋" w:hAnsi="仿宋" w:eastAsia="仿宋" w:cs="仿宋"/>
                <w:sz w:val="24"/>
              </w:rPr>
            </w:pPr>
            <w:r>
              <w:rPr>
                <w:rFonts w:hint="eastAsia" w:ascii="仿宋" w:hAnsi="仿宋" w:eastAsia="仿宋" w:cs="仿宋"/>
                <w:sz w:val="24"/>
              </w:rPr>
              <w:t>团队实力情况</w:t>
            </w:r>
          </w:p>
          <w:p>
            <w:pPr>
              <w:rPr>
                <w:rFonts w:ascii="仿宋" w:hAnsi="仿宋" w:eastAsia="仿宋" w:cs="仿宋"/>
                <w:sz w:val="24"/>
              </w:rPr>
            </w:pPr>
            <w:r>
              <w:rPr>
                <w:rFonts w:hint="eastAsia" w:ascii="仿宋" w:hAnsi="仿宋" w:eastAsia="仿宋" w:cs="仿宋"/>
                <w:kern w:val="0"/>
                <w:sz w:val="24"/>
              </w:rPr>
              <w:t>（总分值15分）</w:t>
            </w:r>
          </w:p>
        </w:tc>
        <w:tc>
          <w:tcPr>
            <w:tcW w:w="5760" w:type="dxa"/>
            <w:tcBorders>
              <w:left w:val="single" w:color="auto" w:sz="4" w:space="0"/>
            </w:tcBorders>
            <w:vAlign w:val="center"/>
          </w:tcPr>
          <w:p>
            <w:pPr>
              <w:widowControl/>
              <w:numPr>
                <w:ilvl w:val="255"/>
                <w:numId w:val="0"/>
              </w:numPr>
              <w:rPr>
                <w:rFonts w:ascii="仿宋" w:hAnsi="仿宋" w:eastAsia="仿宋" w:cs="仿宋"/>
                <w:sz w:val="24"/>
              </w:rPr>
            </w:pPr>
            <w:r>
              <w:rPr>
                <w:rFonts w:hint="eastAsia" w:ascii="仿宋" w:hAnsi="仿宋" w:eastAsia="仿宋" w:cs="仿宋"/>
                <w:sz w:val="24"/>
              </w:rPr>
              <w:t>1.拥有高级</w:t>
            </w:r>
            <w:r>
              <w:rPr>
                <w:rFonts w:hint="eastAsia" w:ascii="仿宋" w:hAnsi="仿宋" w:eastAsia="仿宋" w:cs="仿宋"/>
                <w:sz w:val="24"/>
                <w:lang w:eastAsia="zh-Hans"/>
              </w:rPr>
              <w:t>职称人员</w:t>
            </w:r>
            <w:r>
              <w:rPr>
                <w:rFonts w:hint="eastAsia" w:ascii="仿宋" w:hAnsi="仿宋" w:eastAsia="仿宋" w:cs="仿宋"/>
                <w:sz w:val="24"/>
              </w:rPr>
              <w:t>，</w:t>
            </w:r>
            <w:r>
              <w:rPr>
                <w:rFonts w:hint="eastAsia" w:ascii="仿宋" w:hAnsi="仿宋" w:eastAsia="仿宋" w:cs="仿宋"/>
                <w:sz w:val="24"/>
                <w:lang w:eastAsia="zh-Hans"/>
              </w:rPr>
              <w:t>每个得2分，最高</w:t>
            </w:r>
            <w:r>
              <w:rPr>
                <w:rFonts w:hint="eastAsia" w:ascii="仿宋" w:hAnsi="仿宋" w:eastAsia="仿宋" w:cs="仿宋"/>
                <w:sz w:val="24"/>
              </w:rPr>
              <w:t>4</w:t>
            </w:r>
            <w:r>
              <w:rPr>
                <w:rFonts w:hint="eastAsia" w:ascii="仿宋" w:hAnsi="仿宋" w:eastAsia="仿宋" w:cs="仿宋"/>
                <w:sz w:val="24"/>
                <w:lang w:eastAsia="zh-Hans"/>
              </w:rPr>
              <w:t>分</w:t>
            </w:r>
            <w:r>
              <w:rPr>
                <w:rFonts w:hint="eastAsia" w:ascii="仿宋" w:hAnsi="仿宋" w:eastAsia="仿宋" w:cs="仿宋"/>
                <w:sz w:val="24"/>
              </w:rPr>
              <w:t>；</w:t>
            </w:r>
          </w:p>
          <w:p>
            <w:pPr>
              <w:widowControl/>
              <w:numPr>
                <w:ilvl w:val="255"/>
                <w:numId w:val="0"/>
              </w:numPr>
              <w:rPr>
                <w:rFonts w:ascii="仿宋" w:hAnsi="仿宋" w:eastAsia="仿宋" w:cs="仿宋"/>
                <w:sz w:val="24"/>
                <w:lang w:eastAsia="zh-Hans"/>
              </w:rPr>
            </w:pPr>
            <w:r>
              <w:rPr>
                <w:rFonts w:hint="eastAsia" w:ascii="仿宋" w:hAnsi="仿宋" w:eastAsia="仿宋" w:cs="仿宋"/>
                <w:sz w:val="24"/>
              </w:rPr>
              <w:t>2.</w:t>
            </w:r>
            <w:r>
              <w:rPr>
                <w:rFonts w:hint="eastAsia" w:ascii="仿宋" w:hAnsi="仿宋" w:eastAsia="仿宋" w:cs="仿宋"/>
                <w:sz w:val="24"/>
                <w:lang w:eastAsia="zh-Hans"/>
              </w:rPr>
              <w:t>拥有中级职称人员，每个得1分，最高</w:t>
            </w:r>
            <w:r>
              <w:rPr>
                <w:rFonts w:hint="eastAsia" w:ascii="仿宋" w:hAnsi="仿宋" w:eastAsia="仿宋" w:cs="仿宋"/>
                <w:sz w:val="24"/>
              </w:rPr>
              <w:t>3</w:t>
            </w:r>
            <w:r>
              <w:rPr>
                <w:rFonts w:hint="eastAsia" w:ascii="仿宋" w:hAnsi="仿宋" w:eastAsia="仿宋" w:cs="仿宋"/>
                <w:sz w:val="24"/>
                <w:lang w:eastAsia="zh-Hans"/>
              </w:rPr>
              <w:t>分；</w:t>
            </w:r>
          </w:p>
          <w:p>
            <w:pPr>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Hans"/>
              </w:rPr>
              <w:t>拥有具备政府采购专业能力的人员，每个得</w:t>
            </w:r>
            <w:r>
              <w:rPr>
                <w:rFonts w:hint="eastAsia" w:ascii="仿宋" w:hAnsi="仿宋" w:eastAsia="仿宋" w:cs="仿宋"/>
                <w:sz w:val="24"/>
              </w:rPr>
              <w:t>1</w:t>
            </w:r>
            <w:r>
              <w:rPr>
                <w:rFonts w:hint="eastAsia" w:ascii="仿宋" w:hAnsi="仿宋" w:eastAsia="仿宋" w:cs="仿宋"/>
                <w:sz w:val="24"/>
                <w:lang w:eastAsia="zh-Hans"/>
              </w:rPr>
              <w:t>分，最高</w:t>
            </w:r>
            <w:r>
              <w:rPr>
                <w:rFonts w:hint="eastAsia" w:ascii="仿宋" w:hAnsi="仿宋" w:eastAsia="仿宋" w:cs="仿宋"/>
                <w:sz w:val="24"/>
              </w:rPr>
              <w:t>8</w:t>
            </w:r>
            <w:r>
              <w:rPr>
                <w:rFonts w:hint="eastAsia" w:ascii="仿宋" w:hAnsi="仿宋" w:eastAsia="仿宋" w:cs="仿宋"/>
                <w:sz w:val="24"/>
                <w:lang w:eastAsia="zh-Hans"/>
              </w:rPr>
              <w:t>分。（第1、2项提供人员社保证明、职称证书复印件；第3项提供人员社保证明、政府采购培训证书</w:t>
            </w:r>
            <w:r>
              <w:rPr>
                <w:rFonts w:hint="eastAsia" w:ascii="仿宋" w:hAnsi="仿宋" w:eastAsia="仿宋" w:cs="仿宋"/>
                <w:sz w:val="24"/>
              </w:rPr>
              <w:t>或招标采购从业人员专业技术能力评价证书</w:t>
            </w:r>
            <w:r>
              <w:rPr>
                <w:rFonts w:hint="eastAsia" w:ascii="仿宋" w:hAnsi="仿宋" w:eastAsia="仿宋" w:cs="仿宋"/>
                <w:sz w:val="24"/>
                <w:lang w:eastAsia="zh-Hans"/>
              </w:rPr>
              <w:t>复印件）</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9870" w:type="dxa"/>
            <w:gridSpan w:val="4"/>
            <w:vAlign w:val="center"/>
          </w:tcPr>
          <w:p>
            <w:pPr>
              <w:rPr>
                <w:rFonts w:ascii="仿宋" w:hAnsi="仿宋" w:eastAsia="仿宋" w:cs="仿宋"/>
                <w:b/>
                <w:bCs/>
                <w:sz w:val="24"/>
              </w:rPr>
            </w:pPr>
            <w:r>
              <w:rPr>
                <w:rFonts w:hint="eastAsia" w:ascii="仿宋" w:hAnsi="仿宋" w:eastAsia="仿宋" w:cs="仿宋"/>
                <w:b/>
                <w:bCs/>
                <w:sz w:val="24"/>
              </w:rPr>
              <w:t>二、代理方案40分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71" w:hRule="atLeast"/>
        </w:trPr>
        <w:tc>
          <w:tcPr>
            <w:tcW w:w="1740" w:type="dxa"/>
            <w:vAlign w:val="center"/>
          </w:tcPr>
          <w:p>
            <w:pPr>
              <w:rPr>
                <w:rFonts w:ascii="仿宋" w:hAnsi="仿宋" w:eastAsia="仿宋" w:cs="仿宋"/>
                <w:kern w:val="0"/>
                <w:sz w:val="24"/>
              </w:rPr>
            </w:pPr>
            <w:r>
              <w:rPr>
                <w:rFonts w:hint="eastAsia" w:ascii="仿宋" w:hAnsi="仿宋" w:eastAsia="仿宋" w:cs="仿宋"/>
                <w:kern w:val="0"/>
                <w:sz w:val="24"/>
              </w:rPr>
              <w:t>招标代理服务方案</w:t>
            </w:r>
          </w:p>
          <w:p>
            <w:pPr>
              <w:rPr>
                <w:rFonts w:ascii="仿宋" w:hAnsi="仿宋" w:eastAsia="仿宋" w:cs="仿宋"/>
                <w:sz w:val="24"/>
              </w:rPr>
            </w:pPr>
            <w:r>
              <w:rPr>
                <w:rFonts w:hint="eastAsia" w:ascii="仿宋" w:hAnsi="仿宋" w:eastAsia="仿宋" w:cs="仿宋"/>
                <w:kern w:val="0"/>
                <w:sz w:val="24"/>
              </w:rPr>
              <w:t>（总分值20分）</w:t>
            </w:r>
          </w:p>
        </w:tc>
        <w:tc>
          <w:tcPr>
            <w:tcW w:w="5760" w:type="dxa"/>
            <w:vAlign w:val="center"/>
          </w:tcPr>
          <w:p>
            <w:pPr>
              <w:numPr>
                <w:ilvl w:val="0"/>
                <w:numId w:val="4"/>
              </w:numPr>
              <w:rPr>
                <w:rFonts w:ascii="仿宋" w:hAnsi="仿宋" w:eastAsia="仿宋" w:cs="仿宋"/>
                <w:sz w:val="24"/>
              </w:rPr>
            </w:pPr>
            <w:r>
              <w:rPr>
                <w:rFonts w:hint="eastAsia" w:ascii="仿宋" w:hAnsi="仿宋" w:eastAsia="仿宋" w:cs="仿宋"/>
                <w:sz w:val="24"/>
              </w:rPr>
              <w:t>代理服务方案完整且具体可行，能根据项目特点，拟定有针对性、可行性服务方案，所制定的招标服务方案有针对性描述、合理性操作。</w:t>
            </w:r>
            <w:r>
              <w:rPr>
                <w:rFonts w:ascii="仿宋" w:hAnsi="仿宋" w:eastAsia="仿宋" w:cs="仿宋"/>
                <w:sz w:val="24"/>
              </w:rPr>
              <w:t>20</w:t>
            </w:r>
            <w:r>
              <w:rPr>
                <w:rFonts w:hint="eastAsia" w:ascii="仿宋" w:hAnsi="仿宋" w:eastAsia="仿宋" w:cs="仿宋"/>
                <w:sz w:val="24"/>
              </w:rPr>
              <w:t>分</w:t>
            </w:r>
          </w:p>
          <w:p>
            <w:pPr>
              <w:numPr>
                <w:ilvl w:val="0"/>
                <w:numId w:val="4"/>
              </w:numPr>
              <w:rPr>
                <w:rFonts w:ascii="仿宋" w:hAnsi="仿宋" w:eastAsia="仿宋" w:cs="仿宋"/>
                <w:sz w:val="24"/>
              </w:rPr>
            </w:pPr>
            <w:r>
              <w:rPr>
                <w:rFonts w:hint="eastAsia" w:ascii="仿宋" w:hAnsi="仿宋" w:eastAsia="仿宋" w:cs="仿宋"/>
                <w:sz w:val="24"/>
              </w:rPr>
              <w:t>代理服务方案良好，内容基本完整、可行，存在局部瑕疵。</w:t>
            </w:r>
            <w:r>
              <w:rPr>
                <w:rFonts w:ascii="仿宋" w:hAnsi="仿宋" w:eastAsia="仿宋" w:cs="仿宋"/>
                <w:sz w:val="24"/>
              </w:rPr>
              <w:t>15</w:t>
            </w:r>
            <w:r>
              <w:rPr>
                <w:rFonts w:hint="eastAsia" w:ascii="仿宋" w:hAnsi="仿宋" w:eastAsia="仿宋" w:cs="仿宋"/>
                <w:sz w:val="24"/>
              </w:rPr>
              <w:t>分</w:t>
            </w:r>
          </w:p>
          <w:p>
            <w:pPr>
              <w:numPr>
                <w:ilvl w:val="0"/>
                <w:numId w:val="4"/>
              </w:numPr>
              <w:rPr>
                <w:rFonts w:ascii="仿宋" w:hAnsi="仿宋" w:eastAsia="仿宋" w:cs="仿宋"/>
                <w:sz w:val="24"/>
              </w:rPr>
            </w:pPr>
            <w:r>
              <w:rPr>
                <w:rFonts w:hint="eastAsia" w:ascii="仿宋" w:hAnsi="仿宋" w:eastAsia="仿宋" w:cs="仿宋"/>
                <w:sz w:val="24"/>
              </w:rPr>
              <w:t>代理服务方案一般，无针对性。</w:t>
            </w:r>
            <w:r>
              <w:rPr>
                <w:rFonts w:ascii="仿宋" w:hAnsi="仿宋" w:eastAsia="仿宋" w:cs="仿宋"/>
                <w:sz w:val="24"/>
              </w:rPr>
              <w:t>5</w:t>
            </w:r>
            <w:r>
              <w:rPr>
                <w:rFonts w:hint="eastAsia" w:ascii="仿宋" w:hAnsi="仿宋" w:eastAsia="仿宋" w:cs="仿宋"/>
                <w:sz w:val="24"/>
              </w:rPr>
              <w:t>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356" w:hRule="atLeast"/>
        </w:trPr>
        <w:tc>
          <w:tcPr>
            <w:tcW w:w="1740" w:type="dxa"/>
            <w:vAlign w:val="center"/>
          </w:tcPr>
          <w:p>
            <w:pPr>
              <w:rPr>
                <w:rFonts w:ascii="仿宋" w:hAnsi="仿宋" w:eastAsia="仿宋" w:cs="仿宋"/>
                <w:kern w:val="0"/>
                <w:sz w:val="24"/>
              </w:rPr>
            </w:pPr>
            <w:r>
              <w:rPr>
                <w:rFonts w:hint="eastAsia" w:ascii="仿宋" w:hAnsi="仿宋" w:eastAsia="仿宋" w:cs="仿宋"/>
                <w:kern w:val="0"/>
                <w:sz w:val="24"/>
              </w:rPr>
              <w:t>服务质量承诺</w:t>
            </w:r>
          </w:p>
          <w:p>
            <w:pPr>
              <w:rPr>
                <w:rFonts w:ascii="仿宋" w:hAnsi="仿宋" w:eastAsia="仿宋" w:cs="仿宋"/>
                <w:kern w:val="0"/>
                <w:sz w:val="24"/>
              </w:rPr>
            </w:pPr>
            <w:r>
              <w:rPr>
                <w:rFonts w:hint="eastAsia" w:ascii="仿宋" w:hAnsi="仿宋" w:eastAsia="仿宋" w:cs="仿宋"/>
                <w:kern w:val="0"/>
                <w:sz w:val="24"/>
              </w:rPr>
              <w:t>（总分值20分）</w:t>
            </w:r>
          </w:p>
        </w:tc>
        <w:tc>
          <w:tcPr>
            <w:tcW w:w="5760" w:type="dxa"/>
            <w:vAlign w:val="center"/>
          </w:tcPr>
          <w:p>
            <w:pPr>
              <w:numPr>
                <w:ilvl w:val="0"/>
                <w:numId w:val="5"/>
              </w:numPr>
              <w:rPr>
                <w:rFonts w:ascii="仿宋" w:hAnsi="仿宋" w:eastAsia="仿宋" w:cs="仿宋"/>
                <w:sz w:val="24"/>
              </w:rPr>
            </w:pPr>
            <w:r>
              <w:rPr>
                <w:rFonts w:hint="eastAsia" w:ascii="仿宋" w:hAnsi="仿宋" w:eastAsia="仿宋" w:cs="仿宋"/>
                <w:sz w:val="24"/>
              </w:rPr>
              <w:t>服务质量承诺内容具体、针对性强、切实可行，并附具体、可行的违约责任及相关承诺，有紧急预案且措施明确、可行。</w:t>
            </w:r>
            <w:r>
              <w:rPr>
                <w:rFonts w:ascii="仿宋" w:hAnsi="仿宋" w:eastAsia="仿宋" w:cs="仿宋"/>
                <w:sz w:val="24"/>
              </w:rPr>
              <w:t>10</w:t>
            </w:r>
            <w:r>
              <w:rPr>
                <w:rFonts w:hint="eastAsia" w:ascii="仿宋" w:hAnsi="仿宋" w:eastAsia="仿宋" w:cs="仿宋"/>
                <w:sz w:val="24"/>
              </w:rPr>
              <w:t>分；</w:t>
            </w:r>
          </w:p>
          <w:p>
            <w:pPr>
              <w:numPr>
                <w:ilvl w:val="0"/>
                <w:numId w:val="5"/>
              </w:numPr>
              <w:rPr>
                <w:rFonts w:ascii="仿宋" w:hAnsi="仿宋" w:eastAsia="仿宋" w:cs="仿宋"/>
                <w:sz w:val="24"/>
              </w:rPr>
            </w:pPr>
            <w:r>
              <w:rPr>
                <w:rFonts w:hint="eastAsia" w:ascii="仿宋" w:hAnsi="仿宋" w:eastAsia="仿宋" w:cs="仿宋"/>
                <w:sz w:val="24"/>
              </w:rPr>
              <w:t>服务质量承诺内容具体，相对较好，违约承诺、紧急预案一般。</w:t>
            </w:r>
            <w:r>
              <w:rPr>
                <w:rFonts w:ascii="仿宋" w:hAnsi="仿宋" w:eastAsia="仿宋" w:cs="仿宋"/>
                <w:sz w:val="24"/>
              </w:rPr>
              <w:t>15</w:t>
            </w:r>
            <w:r>
              <w:rPr>
                <w:rFonts w:hint="eastAsia" w:ascii="仿宋" w:hAnsi="仿宋" w:eastAsia="仿宋" w:cs="仿宋"/>
                <w:sz w:val="24"/>
              </w:rPr>
              <w:t>分</w:t>
            </w:r>
          </w:p>
          <w:p>
            <w:pPr>
              <w:numPr>
                <w:ilvl w:val="0"/>
                <w:numId w:val="5"/>
              </w:numPr>
              <w:rPr>
                <w:rFonts w:ascii="仿宋" w:hAnsi="仿宋" w:eastAsia="仿宋" w:cs="仿宋"/>
                <w:sz w:val="24"/>
              </w:rPr>
            </w:pPr>
            <w:r>
              <w:rPr>
                <w:rFonts w:hint="eastAsia" w:ascii="仿宋" w:hAnsi="仿宋" w:eastAsia="仿宋" w:cs="仿宋"/>
                <w:sz w:val="24"/>
              </w:rPr>
              <w:t>服务质量承诺内容不够具体，且无具体违约承诺，无紧急预案。</w:t>
            </w:r>
            <w:r>
              <w:rPr>
                <w:rFonts w:ascii="仿宋" w:hAnsi="仿宋" w:eastAsia="仿宋" w:cs="仿宋"/>
                <w:sz w:val="24"/>
              </w:rPr>
              <w:t>5</w:t>
            </w:r>
            <w:r>
              <w:rPr>
                <w:rFonts w:hint="eastAsia" w:ascii="仿宋" w:hAnsi="仿宋" w:eastAsia="仿宋" w:cs="仿宋"/>
                <w:sz w:val="24"/>
              </w:rPr>
              <w:t>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1" w:hRule="atLeast"/>
        </w:trPr>
        <w:tc>
          <w:tcPr>
            <w:tcW w:w="9870" w:type="dxa"/>
            <w:gridSpan w:val="4"/>
            <w:vAlign w:val="center"/>
          </w:tcPr>
          <w:p>
            <w:pPr>
              <w:rPr>
                <w:rFonts w:ascii="仿宋" w:hAnsi="仿宋" w:eastAsia="仿宋" w:cs="仿宋"/>
                <w:b/>
                <w:bCs/>
                <w:sz w:val="24"/>
              </w:rPr>
            </w:pPr>
            <w:r>
              <w:rPr>
                <w:rFonts w:hint="eastAsia" w:ascii="仿宋" w:hAnsi="仿宋" w:eastAsia="仿宋" w:cs="仿宋"/>
                <w:b/>
                <w:bCs/>
                <w:sz w:val="24"/>
              </w:rPr>
              <w:t>三、代理费报价5分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4" w:hRule="atLeast"/>
        </w:trPr>
        <w:tc>
          <w:tcPr>
            <w:tcW w:w="1740" w:type="dxa"/>
            <w:tcBorders>
              <w:right w:val="single" w:color="auto" w:sz="4" w:space="0"/>
            </w:tcBorders>
            <w:vAlign w:val="center"/>
          </w:tcPr>
          <w:p>
            <w:pPr>
              <w:rPr>
                <w:rFonts w:ascii="仿宋" w:hAnsi="仿宋" w:eastAsia="仿宋" w:cs="仿宋"/>
                <w:sz w:val="24"/>
              </w:rPr>
            </w:pPr>
            <w:r>
              <w:rPr>
                <w:rFonts w:hint="eastAsia" w:ascii="仿宋" w:hAnsi="仿宋" w:eastAsia="仿宋" w:cs="仿宋"/>
                <w:sz w:val="24"/>
              </w:rPr>
              <w:t>报价的依据</w:t>
            </w:r>
          </w:p>
          <w:p>
            <w:pPr>
              <w:rPr>
                <w:rFonts w:ascii="仿宋" w:hAnsi="仿宋" w:eastAsia="仿宋" w:cs="仿宋"/>
                <w:sz w:val="24"/>
              </w:rPr>
            </w:pPr>
            <w:r>
              <w:rPr>
                <w:rFonts w:hint="eastAsia" w:ascii="仿宋" w:hAnsi="仿宋" w:eastAsia="仿宋" w:cs="仿宋"/>
                <w:sz w:val="24"/>
              </w:rPr>
              <w:t>说明</w:t>
            </w:r>
          </w:p>
          <w:p>
            <w:pPr>
              <w:rPr>
                <w:rFonts w:ascii="仿宋" w:hAnsi="仿宋" w:eastAsia="仿宋" w:cs="仿宋"/>
                <w:sz w:val="24"/>
              </w:rPr>
            </w:pPr>
            <w:r>
              <w:rPr>
                <w:rFonts w:hint="eastAsia" w:ascii="仿宋" w:hAnsi="仿宋" w:eastAsia="仿宋" w:cs="仿宋"/>
                <w:kern w:val="0"/>
                <w:sz w:val="24"/>
              </w:rPr>
              <w:t>（总分值5分）</w:t>
            </w:r>
          </w:p>
        </w:tc>
        <w:tc>
          <w:tcPr>
            <w:tcW w:w="5760" w:type="dxa"/>
            <w:tcBorders>
              <w:left w:val="single" w:color="auto" w:sz="4" w:space="0"/>
            </w:tcBorders>
            <w:vAlign w:val="center"/>
          </w:tcPr>
          <w:p>
            <w:pPr>
              <w:numPr>
                <w:ilvl w:val="0"/>
                <w:numId w:val="6"/>
              </w:numPr>
              <w:rPr>
                <w:rFonts w:ascii="仿宋" w:hAnsi="仿宋" w:eastAsia="仿宋" w:cs="仿宋"/>
                <w:sz w:val="24"/>
              </w:rPr>
            </w:pPr>
            <w:r>
              <w:rPr>
                <w:rFonts w:hint="eastAsia" w:ascii="仿宋" w:hAnsi="仿宋" w:eastAsia="仿宋" w:cs="仿宋"/>
                <w:sz w:val="24"/>
              </w:rPr>
              <w:t>报价计算书内容完整、依据充分、计算清晰的得5分；</w:t>
            </w:r>
          </w:p>
          <w:p>
            <w:pPr>
              <w:numPr>
                <w:ilvl w:val="0"/>
                <w:numId w:val="6"/>
              </w:numPr>
              <w:rPr>
                <w:rFonts w:ascii="仿宋" w:hAnsi="仿宋" w:eastAsia="仿宋" w:cs="仿宋"/>
                <w:sz w:val="24"/>
              </w:rPr>
            </w:pPr>
            <w:r>
              <w:rPr>
                <w:rFonts w:hint="eastAsia" w:ascii="仿宋" w:hAnsi="仿宋" w:eastAsia="仿宋" w:cs="仿宋"/>
                <w:sz w:val="24"/>
              </w:rPr>
              <w:t>报价计算内容完整、依据较充分、计算较清晰的得2分；</w:t>
            </w:r>
          </w:p>
          <w:p>
            <w:pPr>
              <w:numPr>
                <w:ilvl w:val="0"/>
                <w:numId w:val="6"/>
              </w:numPr>
              <w:rPr>
                <w:rFonts w:ascii="仿宋" w:hAnsi="仿宋" w:eastAsia="仿宋" w:cs="仿宋"/>
                <w:sz w:val="24"/>
              </w:rPr>
            </w:pPr>
            <w:r>
              <w:rPr>
                <w:rFonts w:hint="eastAsia" w:ascii="仿宋" w:hAnsi="仿宋" w:eastAsia="仿宋" w:cs="仿宋"/>
                <w:sz w:val="24"/>
              </w:rPr>
              <w:t>报价计算无说明，依据不充分，不得分。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70" w:type="dxa"/>
            <w:gridSpan w:val="4"/>
            <w:vAlign w:val="center"/>
          </w:tcPr>
          <w:p>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四、代理荣誉信誉情况10分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2" w:hRule="atLeast"/>
        </w:trPr>
        <w:tc>
          <w:tcPr>
            <w:tcW w:w="1740"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荣誉信誉情况</w:t>
            </w:r>
            <w:r>
              <w:rPr>
                <w:rFonts w:hint="eastAsia" w:ascii="仿宋" w:hAnsi="仿宋" w:eastAsia="仿宋" w:cs="仿宋"/>
                <w:color w:val="000000" w:themeColor="text1"/>
                <w:kern w:val="0"/>
                <w:sz w:val="24"/>
                <w14:textFill>
                  <w14:solidFill>
                    <w14:schemeClr w14:val="tx1"/>
                  </w14:solidFill>
                </w14:textFill>
              </w:rPr>
              <w:t>（总分值10分）</w:t>
            </w:r>
          </w:p>
        </w:tc>
        <w:tc>
          <w:tcPr>
            <w:tcW w:w="5760" w:type="dxa"/>
            <w:vAlign w:val="center"/>
          </w:tcPr>
          <w:p>
            <w:pPr>
              <w:numPr>
                <w:ilvl w:val="0"/>
                <w:numId w:val="7"/>
              </w:numPr>
              <w:rPr>
                <w:rFonts w:ascii="仿宋" w:hAnsi="仿宋" w:eastAsia="仿宋" w:cs="仿宋"/>
                <w:sz w:val="24"/>
              </w:rPr>
            </w:pPr>
            <w:r>
              <w:rPr>
                <w:rFonts w:hint="eastAsia" w:ascii="仿宋" w:hAnsi="仿宋" w:eastAsia="仿宋" w:cs="仿宋"/>
                <w:sz w:val="24"/>
              </w:rPr>
              <w:t>获得过“广东省政府采购协会”理事单位，得3分；</w:t>
            </w:r>
          </w:p>
          <w:p>
            <w:pPr>
              <w:numPr>
                <w:ilvl w:val="0"/>
                <w:numId w:val="7"/>
              </w:numPr>
              <w:rPr>
                <w:rFonts w:ascii="仿宋" w:hAnsi="仿宋" w:eastAsia="仿宋" w:cs="仿宋"/>
                <w:sz w:val="24"/>
              </w:rPr>
            </w:pPr>
            <w:r>
              <w:rPr>
                <w:rFonts w:hint="eastAsia" w:ascii="仿宋" w:hAnsi="仿宋" w:eastAsia="仿宋" w:cs="仿宋"/>
                <w:sz w:val="24"/>
              </w:rPr>
              <w:t>获得过“广东省招标投标协会信用评价”证书，得3分；</w:t>
            </w:r>
          </w:p>
          <w:p>
            <w:pPr>
              <w:numPr>
                <w:ilvl w:val="0"/>
                <w:numId w:val="7"/>
              </w:numPr>
              <w:rPr>
                <w:rFonts w:ascii="仿宋" w:hAnsi="仿宋" w:eastAsia="仿宋" w:cs="仿宋"/>
                <w:sz w:val="24"/>
              </w:rPr>
            </w:pPr>
            <w:r>
              <w:rPr>
                <w:rFonts w:hint="eastAsia" w:ascii="仿宋" w:hAnsi="仿宋" w:eastAsia="仿宋" w:cs="仿宋"/>
                <w:sz w:val="24"/>
              </w:rPr>
              <w:t>具有“招标代理服务规范体系认证”证书，得1分；</w:t>
            </w:r>
          </w:p>
          <w:p>
            <w:pPr>
              <w:numPr>
                <w:ilvl w:val="0"/>
                <w:numId w:val="7"/>
              </w:numPr>
              <w:rPr>
                <w:rFonts w:ascii="仿宋" w:hAnsi="仿宋" w:eastAsia="仿宋" w:cs="仿宋"/>
                <w:sz w:val="24"/>
              </w:rPr>
            </w:pPr>
            <w:r>
              <w:rPr>
                <w:rFonts w:hint="eastAsia" w:ascii="仿宋" w:hAnsi="仿宋" w:eastAsia="仿宋" w:cs="仿宋"/>
                <w:sz w:val="24"/>
              </w:rPr>
              <w:t>具有“反贿赂管理体系认证”证书，得1分；</w:t>
            </w:r>
          </w:p>
          <w:p>
            <w:pPr>
              <w:numPr>
                <w:ilvl w:val="0"/>
                <w:numId w:val="7"/>
              </w:numPr>
              <w:rPr>
                <w:rFonts w:ascii="仿宋" w:hAnsi="仿宋" w:eastAsia="仿宋" w:cs="仿宋"/>
                <w:sz w:val="24"/>
              </w:rPr>
            </w:pPr>
            <w:r>
              <w:rPr>
                <w:rFonts w:hint="eastAsia" w:ascii="仿宋" w:hAnsi="仿宋" w:eastAsia="仿宋" w:cs="仿宋"/>
                <w:sz w:val="24"/>
              </w:rPr>
              <w:t>具有“顾客满意度评价体系认证”证书，得1分；</w:t>
            </w:r>
          </w:p>
          <w:p>
            <w:pPr>
              <w:numPr>
                <w:ilvl w:val="0"/>
                <w:numId w:val="7"/>
              </w:numPr>
              <w:rPr>
                <w:rFonts w:ascii="仿宋" w:hAnsi="仿宋" w:eastAsia="仿宋" w:cs="仿宋"/>
                <w:sz w:val="24"/>
              </w:rPr>
            </w:pPr>
            <w:r>
              <w:rPr>
                <w:rFonts w:hint="eastAsia" w:ascii="仿宋" w:hAnsi="仿宋" w:eastAsia="仿宋" w:cs="仿宋"/>
                <w:sz w:val="24"/>
              </w:rPr>
              <w:t>具有“社会责任管理体系认证”证书，得1分；</w:t>
            </w:r>
          </w:p>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Hans"/>
              </w:rPr>
              <w:t>提供证书复印件</w:t>
            </w:r>
            <w:r>
              <w:rPr>
                <w:rFonts w:hint="eastAsia" w:ascii="仿宋" w:hAnsi="仿宋" w:eastAsia="仿宋" w:cs="仿宋"/>
                <w:sz w:val="24"/>
              </w:rPr>
              <w:t>，不提供不得分）</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88" w:hRule="atLeast"/>
        </w:trPr>
        <w:tc>
          <w:tcPr>
            <w:tcW w:w="7500" w:type="dxa"/>
            <w:gridSpan w:val="2"/>
            <w:vAlign w:val="center"/>
          </w:tcPr>
          <w:p>
            <w:pPr>
              <w:jc w:val="center"/>
              <w:rPr>
                <w:rFonts w:ascii="仿宋" w:hAnsi="仿宋" w:eastAsia="仿宋" w:cs="仿宋"/>
                <w:sz w:val="24"/>
              </w:rPr>
            </w:pPr>
            <w:r>
              <w:rPr>
                <w:rFonts w:hint="eastAsia" w:ascii="仿宋" w:hAnsi="仿宋" w:eastAsia="仿宋" w:cs="仿宋"/>
                <w:b/>
                <w:bCs/>
                <w:sz w:val="24"/>
              </w:rPr>
              <w:t>合计</w:t>
            </w:r>
          </w:p>
        </w:tc>
        <w:tc>
          <w:tcPr>
            <w:tcW w:w="1185" w:type="dxa"/>
            <w:vAlign w:val="center"/>
          </w:tcPr>
          <w:p>
            <w:pPr>
              <w:rPr>
                <w:rFonts w:ascii="仿宋" w:hAnsi="仿宋" w:eastAsia="仿宋" w:cs="仿宋"/>
                <w:sz w:val="24"/>
              </w:rPr>
            </w:pPr>
          </w:p>
        </w:tc>
        <w:tc>
          <w:tcPr>
            <w:tcW w:w="1185" w:type="dxa"/>
            <w:vAlign w:val="center"/>
          </w:tcPr>
          <w:p>
            <w:pPr>
              <w:rPr>
                <w:rFonts w:ascii="仿宋" w:hAnsi="仿宋" w:eastAsia="仿宋" w:cs="仿宋"/>
                <w:sz w:val="24"/>
              </w:rPr>
            </w:pPr>
          </w:p>
        </w:tc>
      </w:tr>
    </w:tbl>
    <w:p>
      <w:pPr>
        <w:rPr>
          <w:rFonts w:ascii="Times New Roman" w:hAnsi="Times New Roman" w:cs="Times New Roman"/>
          <w:lang w:eastAsia="zh-Hans"/>
        </w:rPr>
      </w:pPr>
      <w:bookmarkStart w:id="0" w:name="_GoBack"/>
      <w:bookmarkEnd w:id="0"/>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71E5B"/>
    <w:multiLevelType w:val="singleLevel"/>
    <w:tmpl w:val="9E671E5B"/>
    <w:lvl w:ilvl="0" w:tentative="0">
      <w:start w:val="1"/>
      <w:numFmt w:val="decimal"/>
      <w:suff w:val="nothing"/>
      <w:lvlText w:val="（%1）"/>
      <w:lvlJc w:val="left"/>
    </w:lvl>
  </w:abstractNum>
  <w:abstractNum w:abstractNumId="1">
    <w:nsid w:val="B2B8BB2D"/>
    <w:multiLevelType w:val="singleLevel"/>
    <w:tmpl w:val="B2B8BB2D"/>
    <w:lvl w:ilvl="0" w:tentative="0">
      <w:start w:val="1"/>
      <w:numFmt w:val="decimal"/>
      <w:suff w:val="nothing"/>
      <w:lvlText w:val="（%1）"/>
      <w:lvlJc w:val="left"/>
    </w:lvl>
  </w:abstractNum>
  <w:abstractNum w:abstractNumId="2">
    <w:nsid w:val="BF6F951F"/>
    <w:multiLevelType w:val="singleLevel"/>
    <w:tmpl w:val="BF6F951F"/>
    <w:lvl w:ilvl="0" w:tentative="0">
      <w:start w:val="1"/>
      <w:numFmt w:val="decimal"/>
      <w:lvlText w:val="(%1)"/>
      <w:lvlJc w:val="left"/>
      <w:pPr>
        <w:ind w:left="425" w:hanging="425"/>
      </w:pPr>
      <w:rPr>
        <w:rFonts w:hint="default"/>
      </w:rPr>
    </w:lvl>
  </w:abstractNum>
  <w:abstractNum w:abstractNumId="3">
    <w:nsid w:val="DD554B05"/>
    <w:multiLevelType w:val="singleLevel"/>
    <w:tmpl w:val="DD554B05"/>
    <w:lvl w:ilvl="0" w:tentative="0">
      <w:start w:val="1"/>
      <w:numFmt w:val="decimal"/>
      <w:suff w:val="nothing"/>
      <w:lvlText w:val="（%1）"/>
      <w:lvlJc w:val="left"/>
    </w:lvl>
  </w:abstractNum>
  <w:abstractNum w:abstractNumId="4">
    <w:nsid w:val="EF7F019B"/>
    <w:multiLevelType w:val="singleLevel"/>
    <w:tmpl w:val="EF7F019B"/>
    <w:lvl w:ilvl="0" w:tentative="0">
      <w:start w:val="1"/>
      <w:numFmt w:val="decimal"/>
      <w:lvlText w:val="(%1)"/>
      <w:lvlJc w:val="left"/>
      <w:pPr>
        <w:ind w:left="425" w:hanging="425"/>
      </w:pPr>
      <w:rPr>
        <w:rFonts w:hint="default"/>
      </w:rPr>
    </w:lvl>
  </w:abstractNum>
  <w:abstractNum w:abstractNumId="5">
    <w:nsid w:val="FCEC60EF"/>
    <w:multiLevelType w:val="singleLevel"/>
    <w:tmpl w:val="FCEC60EF"/>
    <w:lvl w:ilvl="0" w:tentative="0">
      <w:start w:val="1"/>
      <w:numFmt w:val="decimal"/>
      <w:lvlText w:val="(%1)"/>
      <w:lvlJc w:val="left"/>
      <w:pPr>
        <w:ind w:left="425" w:hanging="425"/>
      </w:pPr>
      <w:rPr>
        <w:rFonts w:hint="default"/>
      </w:rPr>
    </w:lvl>
  </w:abstractNum>
  <w:abstractNum w:abstractNumId="6">
    <w:nsid w:val="41BE16A1"/>
    <w:multiLevelType w:val="singleLevel"/>
    <w:tmpl w:val="41BE16A1"/>
    <w:lvl w:ilvl="0" w:tentative="0">
      <w:start w:val="1"/>
      <w:numFmt w:val="decimal"/>
      <w:suff w:val="nothing"/>
      <w:lvlText w:val="（%1）"/>
      <w:lvlJc w:val="left"/>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ZmNkZWNlYTYyZWRjZjNjN2ZlZjc3ZDc3YjVjZGEifQ=="/>
  </w:docVars>
  <w:rsids>
    <w:rsidRoot w:val="53B52B8D"/>
    <w:rsid w:val="00347035"/>
    <w:rsid w:val="003B4A0D"/>
    <w:rsid w:val="004610F3"/>
    <w:rsid w:val="0053044F"/>
    <w:rsid w:val="005711DE"/>
    <w:rsid w:val="005B0A20"/>
    <w:rsid w:val="007A033B"/>
    <w:rsid w:val="008D1419"/>
    <w:rsid w:val="00965197"/>
    <w:rsid w:val="009D226B"/>
    <w:rsid w:val="00B33EE0"/>
    <w:rsid w:val="00D03B9D"/>
    <w:rsid w:val="00D93415"/>
    <w:rsid w:val="00D97144"/>
    <w:rsid w:val="00E76A01"/>
    <w:rsid w:val="01115BB6"/>
    <w:rsid w:val="035F49EC"/>
    <w:rsid w:val="038C2913"/>
    <w:rsid w:val="09730476"/>
    <w:rsid w:val="09FF4236"/>
    <w:rsid w:val="0B3E42D7"/>
    <w:rsid w:val="13BB37EC"/>
    <w:rsid w:val="16FA34DE"/>
    <w:rsid w:val="177F50ED"/>
    <w:rsid w:val="1C463991"/>
    <w:rsid w:val="1CEB6DC6"/>
    <w:rsid w:val="1E514CC1"/>
    <w:rsid w:val="220C4AA0"/>
    <w:rsid w:val="23C04853"/>
    <w:rsid w:val="25EE36F1"/>
    <w:rsid w:val="285A6E7E"/>
    <w:rsid w:val="297319E8"/>
    <w:rsid w:val="2D855F3C"/>
    <w:rsid w:val="2DC8413B"/>
    <w:rsid w:val="2E4F055C"/>
    <w:rsid w:val="311E6C7D"/>
    <w:rsid w:val="39CD6F47"/>
    <w:rsid w:val="3AD323BC"/>
    <w:rsid w:val="3D291188"/>
    <w:rsid w:val="40E60442"/>
    <w:rsid w:val="41396BC3"/>
    <w:rsid w:val="420F14B6"/>
    <w:rsid w:val="42A247E0"/>
    <w:rsid w:val="478E0D32"/>
    <w:rsid w:val="47C522F3"/>
    <w:rsid w:val="496A5B92"/>
    <w:rsid w:val="4E2A34C8"/>
    <w:rsid w:val="4F1A6654"/>
    <w:rsid w:val="505F2CEF"/>
    <w:rsid w:val="51FC1C78"/>
    <w:rsid w:val="53B52B8D"/>
    <w:rsid w:val="54D92CF1"/>
    <w:rsid w:val="586600CC"/>
    <w:rsid w:val="59CA6619"/>
    <w:rsid w:val="5CA334F6"/>
    <w:rsid w:val="5D18501C"/>
    <w:rsid w:val="5D505311"/>
    <w:rsid w:val="5EE628F6"/>
    <w:rsid w:val="64EE1FD9"/>
    <w:rsid w:val="667900F7"/>
    <w:rsid w:val="66C537B1"/>
    <w:rsid w:val="67FF7F4A"/>
    <w:rsid w:val="70CC3149"/>
    <w:rsid w:val="77D17B13"/>
    <w:rsid w:val="77F79321"/>
    <w:rsid w:val="79F552F4"/>
    <w:rsid w:val="7FE6AF1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Normal_616ad239-be63-4b4f-8210-5f544bd1c554"/>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1883</Characters>
  <Lines>15</Lines>
  <Paragraphs>4</Paragraphs>
  <TotalTime>0</TotalTime>
  <ScaleCrop>false</ScaleCrop>
  <LinksUpToDate>false</LinksUpToDate>
  <CharactersWithSpaces>2209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AZUR</cp:lastModifiedBy>
  <cp:lastPrinted>2024-04-11T08:01:00Z</cp:lastPrinted>
  <dcterms:modified xsi:type="dcterms:W3CDTF">2024-04-15T02:05:20Z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B08B9F57F1A84D629BCBD6A3516B3D98_13</vt:lpwstr>
  </property>
</Properties>
</file>