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方正小标宋简体" w:hAnsi="方正小标宋简体" w:eastAsia="方正小标宋简体" w:cs="方正小标宋简体"/>
          <w:snapToGrid w:val="0"/>
          <w:kern w:val="0"/>
          <w:sz w:val="44"/>
          <w:szCs w:val="44"/>
        </w:rPr>
      </w:pPr>
      <w:r>
        <w:rPr>
          <w:rFonts w:eastAsia="方正小标宋简体"/>
          <w:bCs/>
          <w:sz w:val="44"/>
          <w:szCs w:val="44"/>
        </w:rPr>
        <w:t>广州市</w:t>
      </w:r>
      <w:r>
        <w:rPr>
          <w:rFonts w:hint="eastAsia" w:ascii="方正小标宋简体" w:hAnsi="方正小标宋简体" w:eastAsia="方正小标宋简体" w:cs="方正小标宋简体"/>
          <w:bCs/>
          <w:sz w:val="44"/>
          <w:szCs w:val="44"/>
          <w:lang w:eastAsia="zh-CN"/>
        </w:rPr>
        <w:t>白云区太和镇“9·17”其他伤害</w:t>
      </w:r>
      <w:r>
        <w:rPr>
          <w:rFonts w:eastAsia="方正小标宋简体"/>
          <w:bCs/>
          <w:sz w:val="44"/>
          <w:szCs w:val="44"/>
        </w:rPr>
        <w:t>一般事故</w:t>
      </w:r>
      <w:r>
        <w:rPr>
          <w:rFonts w:hint="eastAsia" w:ascii="方正小标宋简体" w:hAnsi="方正小标宋简体" w:eastAsia="方正小标宋简体" w:cs="方正小标宋简体"/>
          <w:sz w:val="44"/>
          <w:szCs w:val="44"/>
          <w:lang w:val="en-US" w:eastAsia="zh-CN"/>
        </w:rPr>
        <w:t>防范和整改措施落实情况</w:t>
      </w:r>
      <w:r>
        <w:rPr>
          <w:rFonts w:hint="eastAsia" w:ascii="方正小标宋简体" w:hAnsi="方正小标宋简体" w:eastAsia="方正小标宋简体" w:cs="方正小标宋简体"/>
          <w:sz w:val="44"/>
          <w:szCs w:val="44"/>
        </w:rPr>
        <w:t>评估</w:t>
      </w:r>
      <w:r>
        <w:rPr>
          <w:rFonts w:hint="eastAsia" w:ascii="方正小标宋简体" w:hAnsi="方正小标宋简体" w:eastAsia="方正小标宋简体" w:cs="方正小标宋简体"/>
          <w:snapToGrid w:val="0"/>
          <w:kern w:val="0"/>
          <w:sz w:val="44"/>
          <w:szCs w:val="44"/>
        </w:rPr>
        <w:t>报告</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highlight w:val="yellow"/>
          <w:lang w:val="en-US" w:eastAsia="zh-CN"/>
        </w:rPr>
      </w:pPr>
    </w:p>
    <w:p>
      <w:pPr>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2022年9月17日13时30分许，广州市白云区太和镇和龙罗洞二街2-1号厂房三楼发生一起其他伤害事故，造成1人受伤，已造成直接经济损失约21万元。</w:t>
      </w:r>
    </w:p>
    <w:p>
      <w:pPr>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事故发生后，广州市白云区人民政府依法成立事故调查组开展事故调查工作，并于2023年2月7日依法向社会公布事故调查报告。</w:t>
      </w:r>
    </w:p>
    <w:p>
      <w:pPr>
        <w:keepNext w:val="0"/>
        <w:keepLines w:val="0"/>
        <w:pageBreakBefore w:val="0"/>
        <w:wordWrap/>
        <w:overflowPunct/>
        <w:autoSpaceDE/>
        <w:autoSpaceDN/>
        <w:bidi w:val="0"/>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安全生产法》《中共中央国务院关于推进安全生产领域改革发展的意见》（中发〔2016〕32号）《国务院安委会办公室关于印发生产安全事故防范和整改措施落实情况评估办法的通知》（安委办〔2021〕4号）和省、市关于做好生产安全事故责任追究和整改措施落实情况评估工作的有关要求，广州市白云区安全生产委员会办公室组织成立广州市白云区太和镇“9·17”其他伤害一般事故防范和整改措施落实情况评估组(以下简称“评估组”)，对各相关单位事故责任追究和整改措施落实情况进行了评估，现将评估情况报告如下：</w:t>
      </w:r>
    </w:p>
    <w:p>
      <w:pPr>
        <w:snapToGrid w:val="0"/>
        <w:spacing w:line="60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一、评估工作过程</w:t>
      </w:r>
    </w:p>
    <w:p>
      <w:pPr>
        <w:snapToGrid w:val="0"/>
        <w:spacing w:line="600" w:lineRule="exact"/>
        <w:ind w:firstLine="640" w:firstLineChars="200"/>
        <w:jc w:val="both"/>
        <w:rPr>
          <w:rFonts w:hint="eastAsia" w:hAnsi="仿宋_GB2312" w:eastAsia="仿宋_GB2312"/>
          <w:sz w:val="32"/>
          <w:szCs w:val="32"/>
          <w:lang w:val="en-US" w:eastAsia="zh-CN"/>
        </w:rPr>
      </w:pPr>
      <w:r>
        <w:rPr>
          <w:rFonts w:hint="eastAsia" w:hAnsi="仿宋_GB2312" w:eastAsia="仿宋_GB2312"/>
          <w:sz w:val="32"/>
          <w:szCs w:val="32"/>
          <w:lang w:val="en-US" w:eastAsia="zh-CN"/>
        </w:rPr>
        <w:t>2023年11月22日，广州市白云区安全生产委员会办公室牵头成立事故评估组，评估组组长由区安委办有关负责同志担任，成员由区应急</w:t>
      </w:r>
      <w:r>
        <w:rPr>
          <w:rFonts w:hint="eastAsia" w:ascii="Times New Roman" w:hAnsi="仿宋_GB2312" w:eastAsia="仿宋_GB2312"/>
          <w:sz w:val="32"/>
          <w:szCs w:val="32"/>
          <w:lang w:val="en-US" w:eastAsia="zh-CN"/>
        </w:rPr>
        <w:t>管理局、区公安分局、</w:t>
      </w:r>
      <w:r>
        <w:rPr>
          <w:rFonts w:hint="eastAsia" w:hAnsi="仿宋_GB2312" w:eastAsia="仿宋_GB2312"/>
          <w:sz w:val="32"/>
          <w:szCs w:val="32"/>
          <w:lang w:val="en-US" w:eastAsia="zh-CN"/>
        </w:rPr>
        <w:t>区住房建设交通局、</w:t>
      </w:r>
      <w:r>
        <w:rPr>
          <w:rFonts w:hint="eastAsia" w:ascii="Times New Roman" w:hAnsi="仿宋_GB2312" w:eastAsia="仿宋_GB2312"/>
          <w:sz w:val="32"/>
          <w:szCs w:val="32"/>
          <w:lang w:val="en-US" w:eastAsia="zh-CN"/>
        </w:rPr>
        <w:t>区总工会、</w:t>
      </w:r>
      <w:r>
        <w:rPr>
          <w:rFonts w:hint="eastAsia" w:ascii="仿宋_GB2312" w:hAnsi="仿宋_GB2312" w:eastAsia="仿宋_GB2312" w:cs="仿宋_GB2312"/>
          <w:sz w:val="32"/>
          <w:szCs w:val="32"/>
          <w:lang w:val="en-US" w:eastAsia="zh-CN"/>
        </w:rPr>
        <w:t>太和镇人民政府</w:t>
      </w:r>
      <w:r>
        <w:rPr>
          <w:rFonts w:hint="eastAsia" w:ascii="Times New Roman" w:hAnsi="仿宋_GB2312" w:eastAsia="仿宋_GB2312"/>
          <w:sz w:val="32"/>
          <w:szCs w:val="32"/>
          <w:lang w:val="en-US" w:eastAsia="zh-CN"/>
        </w:rPr>
        <w:t>等单位</w:t>
      </w:r>
      <w:r>
        <w:rPr>
          <w:rFonts w:hint="eastAsia" w:hAnsi="仿宋_GB2312" w:eastAsia="仿宋_GB2312"/>
          <w:sz w:val="32"/>
          <w:szCs w:val="32"/>
          <w:lang w:val="en-US" w:eastAsia="zh-CN"/>
        </w:rPr>
        <w:t>有关同志组成。</w:t>
      </w:r>
    </w:p>
    <w:p>
      <w:pPr>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评估组根据《国务院安委会办公室关于印发&lt;生产安全事故防范和整改措施落实情况评估办法&gt;的通知》（安委办〔2021〕4 号）和广州市白云区人民政府发布的《广州市白云区</w:t>
      </w:r>
      <w:r>
        <w:rPr>
          <w:rFonts w:hint="eastAsia" w:ascii="仿宋_GB2312" w:hAnsi="仿宋_GB2312" w:eastAsia="仿宋_GB2312" w:cs="仿宋_GB2312"/>
          <w:sz w:val="32"/>
          <w:szCs w:val="32"/>
          <w:highlight w:val="none"/>
          <w:lang w:eastAsia="zh-CN"/>
        </w:rPr>
        <w:t>太和镇“9·17”其他伤害</w:t>
      </w:r>
      <w:r>
        <w:rPr>
          <w:rFonts w:hint="eastAsia" w:ascii="仿宋_GB2312" w:hAnsi="仿宋_GB2312" w:eastAsia="仿宋_GB2312" w:cs="仿宋_GB2312"/>
          <w:sz w:val="32"/>
          <w:szCs w:val="32"/>
          <w:lang w:val="en-US" w:eastAsia="zh-CN"/>
        </w:rPr>
        <w:t>一般事故调查报告》（以下简称“《事故调查报告》”），逐项对照防范和整改措施建议，评估事故发生单位、相关企业和有关政府部门落实事故防范和整改措施采取的具体举措以及工作成效，吸取事故教训，举一反三加强安全生产工作情况，对事故责任单位和责任人员行政处罚建议等落实情况。</w:t>
      </w:r>
    </w:p>
    <w:p>
      <w:pPr>
        <w:snapToGrid w:val="0"/>
        <w:spacing w:line="600" w:lineRule="exact"/>
        <w:ind w:firstLine="640" w:firstLineChars="200"/>
        <w:jc w:val="both"/>
        <w:rPr>
          <w:rFonts w:hint="eastAsia" w:hAnsi="仿宋_GB2312" w:eastAsia="仿宋_GB2312"/>
          <w:sz w:val="32"/>
          <w:szCs w:val="32"/>
          <w:lang w:val="en-US" w:eastAsia="zh-CN"/>
        </w:rPr>
      </w:pPr>
      <w:r>
        <w:rPr>
          <w:rFonts w:hint="eastAsia" w:ascii="仿宋_GB2312" w:hAnsi="仿宋_GB2312" w:eastAsia="仿宋_GB2312" w:cs="仿宋_GB2312"/>
          <w:sz w:val="32"/>
          <w:szCs w:val="32"/>
          <w:lang w:val="en-US" w:eastAsia="zh-CN"/>
        </w:rPr>
        <w:t>评估组采取资料审查、座谈问询、查阅文件、走访核查等方式，对责任追究、事故防范和整改措施落实情况开展评估工作，形成评估报告，对评估工作中发现的主要问题和相关工作建议进行了反馈，并要求立即进行整改和研究落实</w:t>
      </w:r>
      <w:r>
        <w:rPr>
          <w:rFonts w:hint="eastAsia" w:hAnsi="仿宋_GB2312" w:eastAsia="仿宋_GB2312"/>
          <w:sz w:val="32"/>
          <w:szCs w:val="32"/>
          <w:lang w:val="en-US" w:eastAsia="zh-CN"/>
        </w:rPr>
        <w:t>。</w:t>
      </w:r>
    </w:p>
    <w:p>
      <w:pPr>
        <w:snapToGrid w:val="0"/>
        <w:spacing w:line="60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二、总体评估意见</w:t>
      </w:r>
    </w:p>
    <w:p>
      <w:pPr>
        <w:snapToGrid w:val="0"/>
        <w:spacing w:line="600" w:lineRule="exact"/>
        <w:ind w:firstLine="640" w:firstLineChars="200"/>
        <w:jc w:val="both"/>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lang w:val="en-US" w:eastAsia="zh-CN"/>
        </w:rPr>
        <w:t>广州市白云区太和镇“9·17”其他伤害一般事故</w:t>
      </w:r>
      <w:r>
        <w:rPr>
          <w:rFonts w:hint="eastAsia" w:hAnsi="仿宋_GB2312" w:eastAsia="仿宋_GB2312"/>
          <w:sz w:val="32"/>
          <w:szCs w:val="32"/>
          <w:lang w:val="en-US" w:eastAsia="zh-CN"/>
        </w:rPr>
        <w:t>的责任追究和事故防范整改措施等情况，在事故调查报告经区政府批复同意后，区安委办已发文要求各相关单位落实，并将有关落实情况报区安委办。评估组经评估认为，各相关单位基本</w:t>
      </w:r>
      <w:r>
        <w:rPr>
          <w:rFonts w:hint="eastAsia" w:ascii="仿宋_GB2312" w:hAnsi="仿宋_GB2312" w:eastAsia="仿宋_GB2312" w:cs="仿宋_GB2312"/>
          <w:color w:val="000000"/>
          <w:kern w:val="2"/>
          <w:sz w:val="32"/>
          <w:szCs w:val="32"/>
          <w:lang w:val="en-US" w:eastAsia="zh-CN" w:bidi="ar-SA"/>
        </w:rPr>
        <w:t>能够按要求报送有关工作落实情况，</w:t>
      </w:r>
      <w:r>
        <w:rPr>
          <w:rFonts w:hint="eastAsia" w:ascii="Times New Roman" w:hAnsi="Times New Roman" w:eastAsia="仿宋_GB2312"/>
          <w:sz w:val="32"/>
          <w:szCs w:val="32"/>
          <w:lang w:val="en-US" w:eastAsia="zh-CN"/>
        </w:rPr>
        <w:t>对事故责任单位责任追究情况已得到落实，未发现存在擅自变更、降低标准等问题。事故防范整改措施已完成，所涉及单位对提出的促进安全生产工作的措施和建议进行了相应研究并落实相关举措。</w:t>
      </w:r>
      <w:r>
        <w:rPr>
          <w:rFonts w:hint="eastAsia" w:eastAsia="仿宋_GB2312"/>
          <w:sz w:val="32"/>
          <w:szCs w:val="32"/>
          <w:lang w:val="en-US" w:eastAsia="zh-CN"/>
        </w:rPr>
        <w:t>涉事单位</w:t>
      </w:r>
      <w:r>
        <w:rPr>
          <w:rFonts w:hint="eastAsia" w:ascii="Times New Roman" w:hAnsi="Times New Roman" w:eastAsia="仿宋_GB2312"/>
          <w:sz w:val="32"/>
          <w:szCs w:val="32"/>
          <w:lang w:val="en-US" w:eastAsia="zh-CN"/>
        </w:rPr>
        <w:t>能够认真吸取事故的深刻教训，落实安全生产主体责任，加大各级安全生产培训教育力度，认真开展安全大检查，及时排查、整改安全隐患，在一定程度上避免其他生产安全事故的发生。</w:t>
      </w:r>
    </w:p>
    <w:p>
      <w:pPr>
        <w:snapToGrid w:val="0"/>
        <w:spacing w:line="600" w:lineRule="exact"/>
        <w:ind w:firstLine="640" w:firstLineChars="200"/>
        <w:jc w:val="both"/>
        <w:rPr>
          <w:rFonts w:hint="eastAsia" w:hAnsi="仿宋_GB2312" w:eastAsia="仿宋_GB2312"/>
          <w:sz w:val="32"/>
          <w:szCs w:val="32"/>
          <w:lang w:val="en-US" w:eastAsia="zh-CN"/>
        </w:rPr>
      </w:pPr>
      <w:r>
        <w:rPr>
          <w:rFonts w:hint="eastAsia" w:ascii="黑体" w:hAnsi="黑体" w:eastAsia="黑体" w:cs="黑体"/>
          <w:sz w:val="32"/>
          <w:szCs w:val="32"/>
          <w:lang w:val="en-US" w:eastAsia="zh-CN"/>
        </w:rPr>
        <w:t>三、事故防范和整改措施落实情况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b/>
          <w:bCs/>
          <w:sz w:val="32"/>
          <w:szCs w:val="32"/>
          <w:highlight w:val="none"/>
          <w:lang w:val="en-US" w:eastAsia="zh-CN"/>
        </w:rPr>
        <w:t>（一）对事故有关责任单位及责任人员的责任追究落实情况。</w:t>
      </w:r>
    </w:p>
    <w:p>
      <w:pPr>
        <w:snapToGrid w:val="0"/>
        <w:spacing w:line="600" w:lineRule="exact"/>
        <w:ind w:firstLine="640" w:firstLineChars="200"/>
        <w:jc w:val="both"/>
        <w:rPr>
          <w:rFonts w:hint="eastAsia" w:hAnsi="仿宋_GB2312" w:eastAsia="仿宋_GB2312"/>
          <w:sz w:val="32"/>
          <w:szCs w:val="32"/>
          <w:lang w:val="en-US" w:eastAsia="zh-CN"/>
        </w:rPr>
      </w:pPr>
      <w:r>
        <w:rPr>
          <w:rFonts w:hint="eastAsia" w:hAnsi="仿宋_GB2312" w:eastAsia="仿宋_GB2312"/>
          <w:sz w:val="32"/>
          <w:szCs w:val="32"/>
          <w:lang w:val="en-US" w:eastAsia="zh-CN"/>
        </w:rPr>
        <w:t>评估组通过查阅相关单位落实</w:t>
      </w:r>
      <w:r>
        <w:rPr>
          <w:rFonts w:hint="eastAsia" w:ascii="仿宋_GB2312" w:hAnsi="仿宋_GB2312" w:eastAsia="仿宋_GB2312" w:cs="仿宋_GB2312"/>
          <w:sz w:val="32"/>
          <w:szCs w:val="32"/>
          <w:lang w:val="en-US" w:eastAsia="zh-CN"/>
        </w:rPr>
        <w:t>广州市白云区太和镇“9·17”其他伤害一般事故</w:t>
      </w:r>
      <w:r>
        <w:rPr>
          <w:rFonts w:hint="eastAsia" w:hAnsi="仿宋_GB2312" w:eastAsia="仿宋_GB2312"/>
          <w:sz w:val="32"/>
          <w:szCs w:val="32"/>
          <w:lang w:val="en-US" w:eastAsia="zh-CN"/>
        </w:rPr>
        <w:t>结案批复情况的文件资料，各单位落实《事故调查报告》中事故有关责任单位及责任人员的处理情况，具体如下表：</w:t>
      </w:r>
    </w:p>
    <w:p>
      <w:pPr>
        <w:snapToGrid w:val="0"/>
        <w:spacing w:line="600" w:lineRule="exact"/>
        <w:ind w:firstLine="643" w:firstLineChars="200"/>
        <w:jc w:val="both"/>
        <w:rPr>
          <w:rFonts w:hint="eastAsia" w:hAnsi="仿宋_GB2312" w:eastAsia="仿宋_GB2312"/>
          <w:b/>
          <w:bCs/>
          <w:sz w:val="32"/>
          <w:szCs w:val="32"/>
          <w:lang w:val="en-US" w:eastAsia="zh-CN"/>
        </w:rPr>
      </w:pPr>
      <w:r>
        <w:rPr>
          <w:rFonts w:hint="eastAsia" w:hAnsi="仿宋_GB2312" w:eastAsia="仿宋_GB2312"/>
          <w:b/>
          <w:bCs/>
          <w:sz w:val="32"/>
          <w:szCs w:val="32"/>
          <w:lang w:val="en-US" w:eastAsia="zh-CN"/>
        </w:rPr>
        <w:t>1.对《事故调查报告》中责任人员的责任追究落实情况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342"/>
        <w:gridCol w:w="2070"/>
        <w:gridCol w:w="2445"/>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80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34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责任人员</w:t>
            </w:r>
          </w:p>
        </w:tc>
        <w:tc>
          <w:tcPr>
            <w:tcW w:w="207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单位及职位</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追究内容</w:t>
            </w:r>
          </w:p>
        </w:tc>
        <w:tc>
          <w:tcPr>
            <w:tcW w:w="229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280" w:firstLineChars="10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追究情况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34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姚海军</w:t>
            </w:r>
          </w:p>
        </w:tc>
        <w:tc>
          <w:tcPr>
            <w:tcW w:w="207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涉事施工项目承接人</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由区住房建设交通局予以行政处罚。</w:t>
            </w:r>
          </w:p>
        </w:tc>
        <w:tc>
          <w:tcPr>
            <w:tcW w:w="229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已处罚0.21万元。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34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王刚</w:t>
            </w:r>
          </w:p>
        </w:tc>
        <w:tc>
          <w:tcPr>
            <w:tcW w:w="207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涉事厂房承租方</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由区应急管理局予以行政处罚。</w:t>
            </w:r>
          </w:p>
        </w:tc>
        <w:tc>
          <w:tcPr>
            <w:tcW w:w="229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bookmarkStart w:id="0" w:name="OLE_LINK1"/>
            <w:r>
              <w:rPr>
                <w:rFonts w:hint="eastAsia" w:ascii="仿宋_GB2312" w:hAnsi="仿宋_GB2312" w:eastAsia="仿宋_GB2312" w:cs="仿宋_GB2312"/>
                <w:sz w:val="28"/>
                <w:szCs w:val="28"/>
                <w:vertAlign w:val="baseline"/>
                <w:lang w:val="en-US" w:eastAsia="zh-CN"/>
              </w:rPr>
              <w:t>已处罚13万元。</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34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谢永炜</w:t>
            </w:r>
          </w:p>
        </w:tc>
        <w:tc>
          <w:tcPr>
            <w:tcW w:w="207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广州市白云区太和镇和龙村第四经济合作社直接</w:t>
            </w:r>
            <w:r>
              <w:rPr>
                <w:rFonts w:hint="default" w:ascii="仿宋_GB2312" w:hAnsi="仿宋_GB2312" w:eastAsia="仿宋_GB2312" w:cs="仿宋_GB2312"/>
                <w:sz w:val="28"/>
                <w:szCs w:val="28"/>
                <w:vertAlign w:val="baseline"/>
                <w:lang w:val="en-US" w:eastAsia="zh-CN"/>
              </w:rPr>
              <w:t>负责人</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由区应急管理局予以行政处罚。</w:t>
            </w:r>
          </w:p>
        </w:tc>
        <w:tc>
          <w:tcPr>
            <w:tcW w:w="229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已处罚0.8万元。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34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王纪定</w:t>
            </w:r>
          </w:p>
        </w:tc>
        <w:tc>
          <w:tcPr>
            <w:tcW w:w="207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无</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由区应急管理局予以行政处罚。</w:t>
            </w:r>
          </w:p>
        </w:tc>
        <w:tc>
          <w:tcPr>
            <w:tcW w:w="229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执法部门认为其违法责任应由王刚承担，不予处罚。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34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马超</w:t>
            </w:r>
          </w:p>
        </w:tc>
        <w:tc>
          <w:tcPr>
            <w:tcW w:w="207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无</w:t>
            </w:r>
          </w:p>
        </w:tc>
        <w:tc>
          <w:tcPr>
            <w:tcW w:w="244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由区应急管理局予以行政处罚。</w:t>
            </w:r>
          </w:p>
        </w:tc>
        <w:tc>
          <w:tcPr>
            <w:tcW w:w="229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bookmarkStart w:id="1" w:name="OLE_LINK2"/>
            <w:r>
              <w:rPr>
                <w:rFonts w:hint="eastAsia" w:ascii="仿宋_GB2312" w:hAnsi="仿宋_GB2312" w:eastAsia="仿宋_GB2312" w:cs="仿宋_GB2312"/>
                <w:sz w:val="28"/>
                <w:szCs w:val="28"/>
                <w:vertAlign w:val="baseline"/>
                <w:lang w:val="en-US" w:eastAsia="zh-CN"/>
              </w:rPr>
              <w:t>执法部门认为其违法责任应由王刚承担</w:t>
            </w:r>
            <w:bookmarkEnd w:id="1"/>
            <w:r>
              <w:rPr>
                <w:rFonts w:hint="eastAsia" w:ascii="仿宋_GB2312" w:hAnsi="仿宋_GB2312" w:eastAsia="仿宋_GB2312" w:cs="仿宋_GB2312"/>
                <w:sz w:val="28"/>
                <w:szCs w:val="28"/>
                <w:vertAlign w:val="baseline"/>
                <w:lang w:val="en-US" w:eastAsia="zh-CN"/>
              </w:rPr>
              <w:t>，不予处罚。</w:t>
            </w:r>
          </w:p>
        </w:tc>
      </w:tr>
    </w:tbl>
    <w:p>
      <w:pPr>
        <w:snapToGrid w:val="0"/>
        <w:spacing w:line="600" w:lineRule="exact"/>
        <w:ind w:firstLine="643" w:firstLineChars="200"/>
        <w:jc w:val="both"/>
        <w:rPr>
          <w:rFonts w:hint="eastAsia" w:hAnsi="仿宋_GB2312" w:eastAsia="仿宋_GB2312"/>
          <w:b/>
          <w:bCs/>
          <w:sz w:val="32"/>
          <w:szCs w:val="32"/>
          <w:lang w:val="en-US" w:eastAsia="zh-CN"/>
        </w:rPr>
      </w:pPr>
      <w:r>
        <w:rPr>
          <w:rFonts w:hint="eastAsia" w:hAnsi="仿宋_GB2312" w:eastAsia="仿宋_GB2312"/>
          <w:b/>
          <w:bCs/>
          <w:sz w:val="32"/>
          <w:szCs w:val="32"/>
          <w:lang w:val="en-US" w:eastAsia="zh-CN"/>
        </w:rPr>
        <w:t>2.对《事故调查报告》中责任单位的责任追究落实情况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367"/>
        <w:gridCol w:w="2625"/>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36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责任单位</w:t>
            </w:r>
          </w:p>
        </w:tc>
        <w:tc>
          <w:tcPr>
            <w:tcW w:w="262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追究内容</w:t>
            </w:r>
          </w:p>
        </w:tc>
        <w:tc>
          <w:tcPr>
            <w:tcW w:w="3096"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追究情况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6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36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广州市白云区太和镇和龙村第四经济合作社</w:t>
            </w:r>
          </w:p>
        </w:tc>
        <w:tc>
          <w:tcPr>
            <w:tcW w:w="262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由区应急管理局予以行政处罚。</w:t>
            </w:r>
          </w:p>
        </w:tc>
        <w:tc>
          <w:tcPr>
            <w:tcW w:w="3096"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已处罚4.5万元。</w:t>
            </w:r>
          </w:p>
        </w:tc>
      </w:tr>
    </w:tbl>
    <w:p>
      <w:pPr>
        <w:snapToGrid w:val="0"/>
        <w:spacing w:line="600" w:lineRule="exact"/>
        <w:ind w:firstLine="643" w:firstLineChars="200"/>
        <w:jc w:val="both"/>
        <w:rPr>
          <w:rFonts w:hint="eastAsia" w:ascii="黑体" w:hAnsi="黑体" w:eastAsia="黑体" w:cs="黑体"/>
          <w:sz w:val="32"/>
          <w:szCs w:val="32"/>
          <w:lang w:val="en-US" w:eastAsia="zh-CN"/>
        </w:rPr>
      </w:pPr>
      <w:r>
        <w:rPr>
          <w:rFonts w:hint="eastAsia" w:ascii="楷体_GB2312" w:hAnsi="楷体_GB2312" w:eastAsia="楷体_GB2312" w:cs="楷体_GB2312"/>
          <w:b/>
          <w:bCs/>
          <w:sz w:val="32"/>
          <w:szCs w:val="32"/>
          <w:highlight w:val="none"/>
          <w:lang w:val="en-US" w:eastAsia="zh-CN"/>
        </w:rPr>
        <w:t>（二）有关事故防范和整改措施落实情况。</w:t>
      </w:r>
    </w:p>
    <w:p>
      <w:pPr>
        <w:numPr>
          <w:ilvl w:val="0"/>
          <w:numId w:val="0"/>
        </w:num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1.太和镇人民政府</w:t>
      </w:r>
      <w:r>
        <w:rPr>
          <w:rFonts w:hint="eastAsia" w:ascii="Times New Roman" w:hAnsi="Times New Roman" w:eastAsia="仿宋_GB2312" w:cs="Times New Roman"/>
          <w:sz w:val="32"/>
          <w:szCs w:val="32"/>
          <w:lang w:val="en-US" w:eastAsia="zh-CN"/>
        </w:rPr>
        <w:t>，一是</w:t>
      </w:r>
      <w:r>
        <w:rPr>
          <w:rFonts w:hint="eastAsia" w:eastAsia="仿宋_GB2312" w:cs="Times New Roman"/>
          <w:sz w:val="32"/>
          <w:szCs w:val="32"/>
          <w:lang w:val="en-US" w:eastAsia="zh-CN"/>
        </w:rPr>
        <w:t>组织工作会议</w:t>
      </w:r>
      <w:r>
        <w:rPr>
          <w:rFonts w:hint="eastAsia" w:ascii="Times New Roman" w:hAnsi="Times New Roman" w:eastAsia="仿宋_GB2312" w:cs="Times New Roman"/>
          <w:sz w:val="32"/>
          <w:szCs w:val="32"/>
          <w:lang w:val="en-US" w:eastAsia="zh-CN"/>
        </w:rPr>
        <w:t>，落实部署</w:t>
      </w:r>
      <w:r>
        <w:rPr>
          <w:rFonts w:hint="eastAsia" w:eastAsia="仿宋_GB2312" w:cs="Times New Roman"/>
          <w:sz w:val="32"/>
          <w:szCs w:val="32"/>
          <w:lang w:val="en-US" w:eastAsia="zh-CN"/>
        </w:rPr>
        <w:t>，</w:t>
      </w:r>
      <w:bookmarkStart w:id="2" w:name="_GoBack"/>
      <w:bookmarkEnd w:id="2"/>
      <w:r>
        <w:rPr>
          <w:rFonts w:hint="eastAsia" w:ascii="Times New Roman" w:hAnsi="Times New Roman" w:eastAsia="仿宋_GB2312" w:cs="Times New Roman"/>
          <w:sz w:val="32"/>
          <w:szCs w:val="32"/>
          <w:highlight w:val="none"/>
          <w:lang w:val="en-US" w:eastAsia="zh-CN"/>
        </w:rPr>
        <w:t>督促</w:t>
      </w:r>
      <w:r>
        <w:rPr>
          <w:rFonts w:hint="eastAsia" w:ascii="仿宋_GB2312" w:hAnsi="仿宋_GB2312" w:eastAsia="仿宋_GB2312" w:cs="仿宋_GB2312"/>
          <w:sz w:val="32"/>
          <w:szCs w:val="32"/>
          <w:highlight w:val="none"/>
          <w:shd w:val="clear" w:color="auto" w:fill="auto"/>
          <w:lang w:val="en-US" w:eastAsia="zh-CN"/>
        </w:rPr>
        <w:t>太和镇和龙村、</w:t>
      </w:r>
      <w:r>
        <w:rPr>
          <w:rFonts w:hint="eastAsia" w:ascii="仿宋_GB2312" w:hAnsi="仿宋_GB2312" w:eastAsia="仿宋_GB2312" w:cs="仿宋_GB2312"/>
          <w:kern w:val="2"/>
          <w:sz w:val="32"/>
          <w:szCs w:val="32"/>
          <w:highlight w:val="none"/>
          <w:shd w:val="clear" w:color="auto" w:fill="auto"/>
          <w:lang w:val="en-US" w:eastAsia="zh-CN" w:bidi="ar-SA"/>
        </w:rPr>
        <w:t>和龙四社</w:t>
      </w:r>
      <w:r>
        <w:rPr>
          <w:rFonts w:hint="eastAsia" w:ascii="Times New Roman" w:hAnsi="Times New Roman" w:eastAsia="仿宋_GB2312" w:cs="Times New Roman"/>
          <w:sz w:val="32"/>
          <w:szCs w:val="32"/>
          <w:highlight w:val="none"/>
          <w:lang w:val="en-US" w:eastAsia="zh-CN"/>
        </w:rPr>
        <w:t>落实</w:t>
      </w:r>
      <w:r>
        <w:rPr>
          <w:rFonts w:hint="eastAsia" w:eastAsia="仿宋_GB2312" w:cs="Times New Roman"/>
          <w:sz w:val="32"/>
          <w:szCs w:val="32"/>
          <w:highlight w:val="none"/>
          <w:lang w:val="en-US" w:eastAsia="zh-CN"/>
        </w:rPr>
        <w:t>整改措施；二</w:t>
      </w:r>
      <w:r>
        <w:rPr>
          <w:rFonts w:hint="eastAsia" w:eastAsia="仿宋_GB2312" w:cs="Times New Roman"/>
          <w:sz w:val="32"/>
          <w:szCs w:val="32"/>
          <w:lang w:val="en-US" w:eastAsia="zh-CN"/>
        </w:rPr>
        <w:t>是加强小型工程安全巡查，加大执法力度</w:t>
      </w:r>
      <w:r>
        <w:rPr>
          <w:rFonts w:hint="eastAsia" w:ascii="Times New Roman" w:hAnsi="Times New Roman" w:eastAsia="仿宋_GB2312" w:cs="Times New Roman"/>
          <w:sz w:val="32"/>
          <w:szCs w:val="32"/>
          <w:lang w:val="en-US" w:eastAsia="zh-CN"/>
        </w:rPr>
        <w:t>。</w:t>
      </w:r>
    </w:p>
    <w:p>
      <w:pPr>
        <w:pStyle w:val="2"/>
        <w:ind w:left="0" w:leftChars="0" w:firstLine="640" w:firstLineChars="200"/>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highlight w:val="none"/>
          <w:shd w:val="clear" w:color="auto" w:fill="auto"/>
          <w:lang w:val="en-US" w:eastAsia="zh-CN"/>
        </w:rPr>
        <w:t>太和镇和龙村</w:t>
      </w:r>
      <w:r>
        <w:rPr>
          <w:rFonts w:hint="eastAsia" w:ascii="仿宋_GB2312" w:hAnsi="仿宋_GB2312" w:eastAsia="仿宋_GB2312" w:cs="仿宋_GB2312"/>
          <w:color w:val="auto"/>
          <w:sz w:val="32"/>
          <w:szCs w:val="32"/>
          <w:highlight w:val="none"/>
          <w:lang w:val="en-US" w:eastAsia="zh-CN"/>
        </w:rPr>
        <w:t>已落实整改措施，一是</w:t>
      </w:r>
      <w:r>
        <w:rPr>
          <w:rFonts w:hint="eastAsia" w:ascii="仿宋_GB2312" w:hAnsi="仿宋_GB2312" w:eastAsia="仿宋_GB2312" w:cs="仿宋_GB2312"/>
          <w:sz w:val="32"/>
          <w:szCs w:val="32"/>
          <w:highlight w:val="none"/>
          <w:shd w:val="clear" w:color="auto" w:fill="auto"/>
          <w:lang w:val="en-US" w:eastAsia="zh-CN"/>
        </w:rPr>
        <w:t>加强</w:t>
      </w:r>
      <w:r>
        <w:rPr>
          <w:rFonts w:hint="eastAsia" w:ascii="仿宋_GB2312" w:hAnsi="仿宋_GB2312" w:eastAsia="仿宋_GB2312" w:cs="仿宋_GB2312"/>
          <w:sz w:val="32"/>
          <w:szCs w:val="32"/>
          <w:highlight w:val="none"/>
          <w:shd w:val="clear" w:color="auto" w:fill="auto"/>
          <w:lang w:eastAsia="zh-CN"/>
        </w:rPr>
        <w:t>辖区内限额以下小型工程工作力度；</w:t>
      </w:r>
      <w:r>
        <w:rPr>
          <w:rFonts w:hint="eastAsia" w:ascii="仿宋_GB2312" w:hAnsi="仿宋_GB2312" w:eastAsia="仿宋_GB2312" w:cs="仿宋_GB2312"/>
          <w:sz w:val="32"/>
          <w:szCs w:val="32"/>
          <w:highlight w:val="none"/>
          <w:shd w:val="clear" w:color="auto" w:fill="auto"/>
          <w:lang w:val="en-US" w:eastAsia="zh-CN"/>
        </w:rPr>
        <w:t>二是相关工作人员参加业务会议提升业务水平；三是深入开展事故隐患排查治理工作。</w:t>
      </w:r>
    </w:p>
    <w:p>
      <w:pPr>
        <w:pStyle w:val="2"/>
        <w:ind w:left="0" w:leftChars="0" w:firstLine="640" w:firstLineChars="200"/>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kern w:val="2"/>
          <w:sz w:val="32"/>
          <w:szCs w:val="32"/>
          <w:highlight w:val="none"/>
          <w:shd w:val="clear" w:color="auto" w:fill="auto"/>
          <w:lang w:val="en-US" w:eastAsia="zh-CN" w:bidi="ar-SA"/>
        </w:rPr>
        <w:t>和龙四社</w:t>
      </w:r>
      <w:r>
        <w:rPr>
          <w:rFonts w:hint="eastAsia" w:ascii="仿宋_GB2312" w:hAnsi="仿宋_GB2312" w:eastAsia="仿宋_GB2312" w:cs="仿宋_GB2312"/>
          <w:color w:val="auto"/>
          <w:sz w:val="32"/>
          <w:szCs w:val="32"/>
          <w:highlight w:val="none"/>
          <w:lang w:val="en-US" w:eastAsia="zh-CN"/>
        </w:rPr>
        <w:t>已落实整改措施，</w:t>
      </w:r>
      <w:r>
        <w:rPr>
          <w:rFonts w:hint="eastAsia" w:ascii="Times New Roman" w:hAnsi="Times New Roman" w:eastAsia="仿宋_GB2312" w:cs="Times New Roman"/>
          <w:sz w:val="32"/>
          <w:szCs w:val="32"/>
          <w:lang w:val="en-US" w:eastAsia="zh-CN"/>
        </w:rPr>
        <w:t>深化对承租单位的安全生产工作统一协调、管理工作</w:t>
      </w:r>
      <w:r>
        <w:rPr>
          <w:rFonts w:hint="eastAsia" w:ascii="仿宋_GB2312" w:hAnsi="仿宋_GB2312" w:eastAsia="仿宋_GB2312" w:cs="仿宋_GB2312"/>
          <w:color w:val="auto"/>
          <w:sz w:val="32"/>
          <w:szCs w:val="32"/>
          <w:highlight w:val="none"/>
          <w:lang w:val="en-US" w:eastAsia="zh-CN"/>
        </w:rPr>
        <w:t>。</w:t>
      </w:r>
    </w:p>
    <w:p>
      <w:pPr>
        <w:numPr>
          <w:ilvl w:val="0"/>
          <w:numId w:val="0"/>
        </w:numPr>
        <w:snapToGrid w:val="0"/>
        <w:spacing w:line="60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lang w:val="en-US" w:eastAsia="zh-CN"/>
        </w:rPr>
        <w:t>四、评估发现的主要问题</w:t>
      </w:r>
    </w:p>
    <w:p>
      <w:pPr>
        <w:snapToGrid w:val="0"/>
        <w:spacing w:line="600" w:lineRule="exact"/>
        <w:ind w:firstLine="640" w:firstLineChars="200"/>
        <w:jc w:val="both"/>
        <w:rPr>
          <w:rFonts w:hint="eastAsia" w:eastAsia="仿宋_GB2312" w:cs="仿宋_GB2312"/>
          <w:color w:val="0000FF"/>
          <w:sz w:val="32"/>
          <w:szCs w:val="32"/>
          <w:highlight w:val="none"/>
          <w:lang w:val="en-US" w:eastAsia="zh-CN"/>
        </w:rPr>
      </w:pPr>
      <w:r>
        <w:rPr>
          <w:rFonts w:hint="eastAsia" w:ascii="仿宋_GB2312" w:hAnsi="仿宋_GB2312" w:eastAsia="仿宋_GB2312" w:cs="仿宋_GB2312"/>
          <w:sz w:val="32"/>
          <w:szCs w:val="32"/>
          <w:highlight w:val="none"/>
          <w:lang w:eastAsia="zh-CN"/>
        </w:rPr>
        <w:t>评估组在此次评估工作中未发现评估对象在安全管理及安全监管方面的问题。</w:t>
      </w:r>
    </w:p>
    <w:p>
      <w:pPr>
        <w:snapToGrid w:val="0"/>
        <w:spacing w:line="600" w:lineRule="exact"/>
        <w:ind w:firstLine="640" w:firstLineChars="200"/>
        <w:jc w:val="both"/>
        <w:rPr>
          <w:rFonts w:hint="eastAsia" w:hAnsi="仿宋_GB2312" w:eastAsia="仿宋_GB2312"/>
          <w:sz w:val="32"/>
          <w:szCs w:val="32"/>
          <w:lang w:val="en-US" w:eastAsia="zh-CN"/>
        </w:rPr>
      </w:pPr>
      <w:r>
        <w:rPr>
          <w:rFonts w:hint="eastAsia" w:ascii="黑体" w:hAnsi="黑体" w:eastAsia="黑体" w:cs="黑体"/>
          <w:sz w:val="32"/>
          <w:szCs w:val="32"/>
          <w:lang w:val="en-US" w:eastAsia="zh-CN"/>
        </w:rPr>
        <w:t>五、相关工作建议</w:t>
      </w:r>
    </w:p>
    <w:p>
      <w:pPr>
        <w:snapToGrid w:val="0"/>
        <w:spacing w:line="600" w:lineRule="exact"/>
        <w:ind w:firstLine="640" w:firstLineChars="200"/>
        <w:jc w:val="both"/>
        <w:rPr>
          <w:rFonts w:hint="default" w:ascii="仿宋_GB2312" w:hAnsi="仿宋_GB2312" w:eastAsia="仿宋_GB2312" w:cs="仿宋_GB2312"/>
          <w:i w:val="0"/>
          <w:caps w:val="0"/>
          <w:color w:val="212529"/>
          <w:spacing w:val="0"/>
          <w:sz w:val="32"/>
          <w:szCs w:val="32"/>
          <w:lang w:val="en-US" w:eastAsia="zh-CN"/>
        </w:rPr>
      </w:pPr>
      <w:r>
        <w:rPr>
          <w:rFonts w:hint="eastAsia" w:ascii="仿宋_GB2312" w:hAnsi="仿宋_GB2312" w:eastAsia="仿宋_GB2312" w:cs="仿宋_GB2312"/>
          <w:sz w:val="32"/>
          <w:szCs w:val="32"/>
          <w:highlight w:val="none"/>
          <w:lang w:eastAsia="zh-CN"/>
        </w:rPr>
        <w:t>建议各相关单位继续加强安全管理与安全监管工作，持续深入开展和落实安全风险防范和事故隐患排查治理工作，建立健全长效机制。</w:t>
      </w:r>
    </w:p>
    <w:sectPr>
      <w:footerReference r:id="rId3" w:type="default"/>
      <w:pgSz w:w="11906" w:h="16838"/>
      <w:pgMar w:top="2154" w:right="1474"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eastAsia="宋体"/>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D9F74"/>
    <w:multiLevelType w:val="multilevel"/>
    <w:tmpl w:val="FC6D9F74"/>
    <w:lvl w:ilvl="0" w:tentative="0">
      <w:start w:val="1"/>
      <w:numFmt w:val="chineseCountingThousand"/>
      <w:suff w:val="space"/>
      <w:lvlText w:val="第%1章 "/>
      <w:lvlJc w:val="left"/>
      <w:pPr>
        <w:ind w:left="58" w:hanging="425"/>
      </w:pPr>
      <w:rPr>
        <w:rFonts w:hint="eastAsia" w:ascii="黑体" w:eastAsia="黑体"/>
        <w:b/>
        <w:i w:val="0"/>
        <w:sz w:val="32"/>
      </w:rPr>
    </w:lvl>
    <w:lvl w:ilvl="1" w:tentative="0">
      <w:start w:val="1"/>
      <w:numFmt w:val="chineseCountingThousand"/>
      <w:suff w:val="nothing"/>
      <w:lvlText w:val="第%2节 "/>
      <w:lvlJc w:val="left"/>
      <w:pPr>
        <w:ind w:left="200" w:hanging="283"/>
      </w:pPr>
      <w:rPr>
        <w:rFonts w:hint="eastAsia" w:ascii="黑体" w:eastAsia="黑体"/>
        <w:b/>
        <w:i w:val="0"/>
        <w:color w:val="800000"/>
        <w:sz w:val="30"/>
      </w:rPr>
    </w:lvl>
    <w:lvl w:ilvl="2" w:tentative="0">
      <w:start w:val="1"/>
      <w:numFmt w:val="chineseCountingThousand"/>
      <w:pStyle w:val="4"/>
      <w:suff w:val="space"/>
      <w:lvlText w:val="%3、"/>
      <w:lvlJc w:val="left"/>
      <w:pPr>
        <w:ind w:left="2014" w:hanging="737"/>
      </w:pPr>
      <w:rPr>
        <w:rFonts w:hint="eastAsia" w:ascii="华文中宋" w:eastAsia="华文中宋"/>
        <w:b/>
        <w:i w:val="0"/>
        <w:color w:val="0000FF"/>
        <w:sz w:val="28"/>
        <w:lang w:val="en-US"/>
      </w:rPr>
    </w:lvl>
    <w:lvl w:ilvl="3" w:tentative="0">
      <w:start w:val="1"/>
      <w:numFmt w:val="decimal"/>
      <w:isLgl/>
      <w:suff w:val="space"/>
      <w:lvlText w:val="%3.%4."/>
      <w:lvlJc w:val="left"/>
      <w:pPr>
        <w:ind w:left="1021" w:hanging="1021"/>
      </w:pPr>
      <w:rPr>
        <w:rFonts w:hint="eastAsia" w:ascii="华文中宋" w:eastAsia="华文中宋"/>
        <w:b/>
        <w:i w:val="0"/>
        <w:color w:val="FF0000"/>
        <w:sz w:val="24"/>
      </w:rPr>
    </w:lvl>
    <w:lvl w:ilvl="4" w:tentative="0">
      <w:start w:val="1"/>
      <w:numFmt w:val="decimal"/>
      <w:isLgl/>
      <w:suff w:val="space"/>
      <w:lvlText w:val="%3.%4.%5."/>
      <w:lvlJc w:val="left"/>
      <w:pPr>
        <w:ind w:left="-367" w:firstLine="567"/>
      </w:pPr>
      <w:rPr>
        <w:rFonts w:hint="eastAsia" w:ascii="华文中宋" w:eastAsia="华文中宋"/>
        <w:b/>
        <w:i w:val="0"/>
        <w:sz w:val="24"/>
      </w:rPr>
    </w:lvl>
    <w:lvl w:ilvl="5" w:tentative="0">
      <w:start w:val="1"/>
      <w:numFmt w:val="decimal"/>
      <w:isLgl/>
      <w:suff w:val="space"/>
      <w:lvlText w:val="(%6)."/>
      <w:lvlJc w:val="left"/>
      <w:pPr>
        <w:ind w:left="-284" w:firstLine="567"/>
      </w:pPr>
      <w:rPr>
        <w:rFonts w:hint="eastAsia" w:ascii="华文中宋" w:eastAsia="华文中宋"/>
        <w:b w:val="0"/>
        <w:i w:val="0"/>
        <w:color w:val="auto"/>
        <w:sz w:val="24"/>
      </w:rPr>
    </w:lvl>
    <w:lvl w:ilvl="6" w:tentative="0">
      <w:start w:val="1"/>
      <w:numFmt w:val="decimal"/>
      <w:isLgl/>
      <w:suff w:val="space"/>
      <w:lvlText w:val="%7)."/>
      <w:lvlJc w:val="left"/>
      <w:pPr>
        <w:ind w:left="-367" w:firstLine="567"/>
      </w:pPr>
      <w:rPr>
        <w:rFonts w:hint="eastAsia" w:ascii="华文中宋" w:eastAsia="华文中宋"/>
        <w:b w:val="0"/>
        <w:i w:val="0"/>
        <w:sz w:val="24"/>
      </w:rPr>
    </w:lvl>
    <w:lvl w:ilvl="7" w:tentative="0">
      <w:start w:val="1"/>
      <w:numFmt w:val="upperRoman"/>
      <w:lvlText w:val="%8"/>
      <w:lvlJc w:val="left"/>
      <w:pPr>
        <w:tabs>
          <w:tab w:val="left" w:pos="1793"/>
        </w:tabs>
        <w:ind w:left="1051" w:hanging="1418"/>
      </w:pPr>
      <w:rPr>
        <w:rFonts w:hint="eastAsia" w:ascii="宋体" w:hAnsi="宋体" w:eastAsia="宋体" w:cs="宋体"/>
      </w:rPr>
    </w:lvl>
    <w:lvl w:ilvl="8" w:tentative="0">
      <w:start w:val="1"/>
      <w:numFmt w:val="decimal"/>
      <w:isLgl/>
      <w:lvlText w:val="%1.%2.%3.%4.%5.%6.%7.%8.%9."/>
      <w:lvlJc w:val="left"/>
      <w:pPr>
        <w:tabs>
          <w:tab w:val="left" w:pos="2153"/>
        </w:tabs>
        <w:ind w:left="1192"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1EEC"/>
    <w:rsid w:val="00790F1F"/>
    <w:rsid w:val="009565BD"/>
    <w:rsid w:val="01095CB3"/>
    <w:rsid w:val="01A8437E"/>
    <w:rsid w:val="0268595F"/>
    <w:rsid w:val="028D1A6B"/>
    <w:rsid w:val="02A55D47"/>
    <w:rsid w:val="032B3C73"/>
    <w:rsid w:val="03EB0149"/>
    <w:rsid w:val="045E5046"/>
    <w:rsid w:val="0465062D"/>
    <w:rsid w:val="06141703"/>
    <w:rsid w:val="06A43790"/>
    <w:rsid w:val="072A2F71"/>
    <w:rsid w:val="07FB2CDF"/>
    <w:rsid w:val="082A73B1"/>
    <w:rsid w:val="08351112"/>
    <w:rsid w:val="08473E76"/>
    <w:rsid w:val="08AE7D60"/>
    <w:rsid w:val="08C3657A"/>
    <w:rsid w:val="09865048"/>
    <w:rsid w:val="0B536D5B"/>
    <w:rsid w:val="0BFA495F"/>
    <w:rsid w:val="0C101684"/>
    <w:rsid w:val="0CBF3275"/>
    <w:rsid w:val="0CFA5DB0"/>
    <w:rsid w:val="0D007A1B"/>
    <w:rsid w:val="0E6B64FD"/>
    <w:rsid w:val="0EB15453"/>
    <w:rsid w:val="0ED94531"/>
    <w:rsid w:val="0F4F53F2"/>
    <w:rsid w:val="0F545200"/>
    <w:rsid w:val="0F6453DF"/>
    <w:rsid w:val="0FA96A0F"/>
    <w:rsid w:val="0FD84363"/>
    <w:rsid w:val="1149255B"/>
    <w:rsid w:val="11775190"/>
    <w:rsid w:val="11A05445"/>
    <w:rsid w:val="11AB7409"/>
    <w:rsid w:val="11CF11B5"/>
    <w:rsid w:val="132A1CA1"/>
    <w:rsid w:val="13445ED1"/>
    <w:rsid w:val="147A009C"/>
    <w:rsid w:val="14A27CF9"/>
    <w:rsid w:val="155461E0"/>
    <w:rsid w:val="16995DD4"/>
    <w:rsid w:val="17B02CF8"/>
    <w:rsid w:val="18115015"/>
    <w:rsid w:val="18B0399F"/>
    <w:rsid w:val="18C136BA"/>
    <w:rsid w:val="18E6118B"/>
    <w:rsid w:val="19121DFA"/>
    <w:rsid w:val="195D48CE"/>
    <w:rsid w:val="1AC20339"/>
    <w:rsid w:val="1AC86721"/>
    <w:rsid w:val="1C113117"/>
    <w:rsid w:val="1C326583"/>
    <w:rsid w:val="1EF03177"/>
    <w:rsid w:val="20AF088A"/>
    <w:rsid w:val="21566AD6"/>
    <w:rsid w:val="21D61059"/>
    <w:rsid w:val="21FB01BB"/>
    <w:rsid w:val="22285988"/>
    <w:rsid w:val="22627834"/>
    <w:rsid w:val="23022F14"/>
    <w:rsid w:val="236068E8"/>
    <w:rsid w:val="237A5DAB"/>
    <w:rsid w:val="23A0361F"/>
    <w:rsid w:val="24446EF8"/>
    <w:rsid w:val="248A66C2"/>
    <w:rsid w:val="256F430E"/>
    <w:rsid w:val="25C91BE2"/>
    <w:rsid w:val="2606392E"/>
    <w:rsid w:val="26721E39"/>
    <w:rsid w:val="26763608"/>
    <w:rsid w:val="26E6063C"/>
    <w:rsid w:val="27870147"/>
    <w:rsid w:val="28743FEE"/>
    <w:rsid w:val="288876C8"/>
    <w:rsid w:val="29C55FD2"/>
    <w:rsid w:val="29D97EC7"/>
    <w:rsid w:val="2AF134FB"/>
    <w:rsid w:val="2B291B3C"/>
    <w:rsid w:val="2B8731CE"/>
    <w:rsid w:val="2C3D4076"/>
    <w:rsid w:val="2C603866"/>
    <w:rsid w:val="2D5E108A"/>
    <w:rsid w:val="2D9E749F"/>
    <w:rsid w:val="2E3273A6"/>
    <w:rsid w:val="2F030158"/>
    <w:rsid w:val="2F0E2524"/>
    <w:rsid w:val="2F422665"/>
    <w:rsid w:val="2F6F7247"/>
    <w:rsid w:val="30024996"/>
    <w:rsid w:val="30046D71"/>
    <w:rsid w:val="301F7423"/>
    <w:rsid w:val="3066301B"/>
    <w:rsid w:val="30933DF1"/>
    <w:rsid w:val="30B73E2C"/>
    <w:rsid w:val="30B75E79"/>
    <w:rsid w:val="313F357C"/>
    <w:rsid w:val="31EB17EA"/>
    <w:rsid w:val="32575ED7"/>
    <w:rsid w:val="34214842"/>
    <w:rsid w:val="3427319A"/>
    <w:rsid w:val="35533F82"/>
    <w:rsid w:val="35786814"/>
    <w:rsid w:val="357C6232"/>
    <w:rsid w:val="35911E63"/>
    <w:rsid w:val="35B54802"/>
    <w:rsid w:val="35D71695"/>
    <w:rsid w:val="36117537"/>
    <w:rsid w:val="362520F1"/>
    <w:rsid w:val="363420A1"/>
    <w:rsid w:val="39A405C4"/>
    <w:rsid w:val="3A290A0A"/>
    <w:rsid w:val="3ACB638D"/>
    <w:rsid w:val="3AD74EE5"/>
    <w:rsid w:val="3BB81F1F"/>
    <w:rsid w:val="3BF65227"/>
    <w:rsid w:val="3CAD2277"/>
    <w:rsid w:val="3E22177F"/>
    <w:rsid w:val="3E2A7E7E"/>
    <w:rsid w:val="3E671DDC"/>
    <w:rsid w:val="3EC66EDC"/>
    <w:rsid w:val="3EDF65E0"/>
    <w:rsid w:val="40003E6C"/>
    <w:rsid w:val="425C6916"/>
    <w:rsid w:val="44643356"/>
    <w:rsid w:val="449049EA"/>
    <w:rsid w:val="451251DC"/>
    <w:rsid w:val="455722B0"/>
    <w:rsid w:val="45DD3268"/>
    <w:rsid w:val="4677415D"/>
    <w:rsid w:val="47602910"/>
    <w:rsid w:val="488D17EF"/>
    <w:rsid w:val="4911122E"/>
    <w:rsid w:val="49535D04"/>
    <w:rsid w:val="4A813F6B"/>
    <w:rsid w:val="4AB80752"/>
    <w:rsid w:val="4AD80040"/>
    <w:rsid w:val="4B964751"/>
    <w:rsid w:val="4C413BF7"/>
    <w:rsid w:val="4C98583E"/>
    <w:rsid w:val="4D997069"/>
    <w:rsid w:val="4DB9611C"/>
    <w:rsid w:val="4E5E218D"/>
    <w:rsid w:val="4E903748"/>
    <w:rsid w:val="4EA377F0"/>
    <w:rsid w:val="4FAB01EE"/>
    <w:rsid w:val="4FCD7AA2"/>
    <w:rsid w:val="51B879A5"/>
    <w:rsid w:val="531804AC"/>
    <w:rsid w:val="53D9791C"/>
    <w:rsid w:val="54231024"/>
    <w:rsid w:val="54CF0873"/>
    <w:rsid w:val="54FA4A80"/>
    <w:rsid w:val="55705776"/>
    <w:rsid w:val="561B6D95"/>
    <w:rsid w:val="56D45C9C"/>
    <w:rsid w:val="57A970DF"/>
    <w:rsid w:val="57D246F8"/>
    <w:rsid w:val="58392E41"/>
    <w:rsid w:val="59087135"/>
    <w:rsid w:val="5CD96A4C"/>
    <w:rsid w:val="5D325056"/>
    <w:rsid w:val="5D872C34"/>
    <w:rsid w:val="5DB74496"/>
    <w:rsid w:val="5E0F7D3D"/>
    <w:rsid w:val="5E805468"/>
    <w:rsid w:val="60446D9F"/>
    <w:rsid w:val="60557BD4"/>
    <w:rsid w:val="609364F8"/>
    <w:rsid w:val="6187776E"/>
    <w:rsid w:val="61B25072"/>
    <w:rsid w:val="62AC78C1"/>
    <w:rsid w:val="63AA4B3B"/>
    <w:rsid w:val="63BD7F2B"/>
    <w:rsid w:val="63E30DD8"/>
    <w:rsid w:val="64145C05"/>
    <w:rsid w:val="6419348D"/>
    <w:rsid w:val="648E1B1D"/>
    <w:rsid w:val="65BB4E62"/>
    <w:rsid w:val="666E0782"/>
    <w:rsid w:val="66FF6DDD"/>
    <w:rsid w:val="67AD6B3F"/>
    <w:rsid w:val="67B17BA2"/>
    <w:rsid w:val="68405267"/>
    <w:rsid w:val="68DF2AEC"/>
    <w:rsid w:val="69006134"/>
    <w:rsid w:val="69A72803"/>
    <w:rsid w:val="69D749F3"/>
    <w:rsid w:val="6A0D7C34"/>
    <w:rsid w:val="6ADD6911"/>
    <w:rsid w:val="6AEF2932"/>
    <w:rsid w:val="6BF722F7"/>
    <w:rsid w:val="6C7D2BDA"/>
    <w:rsid w:val="6CB857D5"/>
    <w:rsid w:val="6CD76DC6"/>
    <w:rsid w:val="6D570D24"/>
    <w:rsid w:val="6E056D32"/>
    <w:rsid w:val="6FA577A3"/>
    <w:rsid w:val="701F24C2"/>
    <w:rsid w:val="7092610E"/>
    <w:rsid w:val="70E33A47"/>
    <w:rsid w:val="71141E49"/>
    <w:rsid w:val="71FD6BF1"/>
    <w:rsid w:val="72C507CE"/>
    <w:rsid w:val="72C92553"/>
    <w:rsid w:val="73984738"/>
    <w:rsid w:val="750D327E"/>
    <w:rsid w:val="754507B2"/>
    <w:rsid w:val="75F112B3"/>
    <w:rsid w:val="76B56483"/>
    <w:rsid w:val="778E5E67"/>
    <w:rsid w:val="779204D2"/>
    <w:rsid w:val="77E372E6"/>
    <w:rsid w:val="7840287B"/>
    <w:rsid w:val="78657403"/>
    <w:rsid w:val="79B436EA"/>
    <w:rsid w:val="79D172F7"/>
    <w:rsid w:val="7AA64DC4"/>
    <w:rsid w:val="7BB36313"/>
    <w:rsid w:val="7BC829D6"/>
    <w:rsid w:val="7C3D2E71"/>
    <w:rsid w:val="7CAA609E"/>
    <w:rsid w:val="7D1908A5"/>
    <w:rsid w:val="7D1D58BE"/>
    <w:rsid w:val="7D3606F7"/>
    <w:rsid w:val="7D81441C"/>
    <w:rsid w:val="7DC42983"/>
    <w:rsid w:val="7EEC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Calibri"/>
      <w:kern w:val="2"/>
      <w:sz w:val="21"/>
      <w:lang w:val="en-US" w:eastAsia="zh-CN"/>
    </w:rPr>
  </w:style>
  <w:style w:type="paragraph" w:styleId="4">
    <w:name w:val="heading 3"/>
    <w:basedOn w:val="1"/>
    <w:next w:val="1"/>
    <w:qFormat/>
    <w:uiPriority w:val="0"/>
    <w:pPr>
      <w:numPr>
        <w:ilvl w:val="2"/>
        <w:numId w:val="1"/>
      </w:numPr>
      <w:ind w:left="2014" w:hanging="737"/>
      <w:outlineLvl w:val="2"/>
    </w:pPr>
    <w:rPr>
      <w:b/>
      <w:color w:val="0000FF"/>
      <w:sz w:val="28"/>
    </w:rPr>
  </w:style>
  <w:style w:type="character" w:default="1" w:styleId="11">
    <w:name w:val="Default Paragraph Font"/>
    <w:link w:val="12"/>
    <w:semiHidden/>
    <w:qFormat/>
    <w:uiPriority w:val="0"/>
    <w:rPr>
      <w:rFonts w:eastAsia="宋体"/>
      <w:sz w:val="21"/>
      <w:szCs w:val="20"/>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Calibri" w:hAnsi="Calibri"/>
      <w:szCs w:val="32"/>
    </w:rPr>
  </w:style>
  <w:style w:type="paragraph" w:styleId="3">
    <w:name w:val="toc 4"/>
    <w:basedOn w:val="1"/>
    <w:next w:val="1"/>
    <w:qFormat/>
    <w:uiPriority w:val="0"/>
    <w:pPr>
      <w:wordWrap w:val="0"/>
      <w:ind w:left="850"/>
    </w:pPr>
    <w:rPr>
      <w:rFonts w:ascii="Calibri" w:hAnsi="Calibri" w:eastAsia="宋体" w:cs="黑体"/>
      <w:szCs w:val="22"/>
    </w:rPr>
  </w:style>
  <w:style w:type="paragraph" w:styleId="5">
    <w:name w:val="Plain Text"/>
    <w:basedOn w:val="1"/>
    <w:link w:val="18"/>
    <w:qFormat/>
    <w:uiPriority w:val="0"/>
    <w:pPr>
      <w:widowControl/>
      <w:jc w:val="left"/>
    </w:pPr>
    <w:rPr>
      <w:rFonts w:ascii="宋体" w:hAnsi="宋体"/>
      <w:kern w:val="0"/>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footnote text"/>
    <w:basedOn w:val="1"/>
    <w:unhideWhenUsed/>
    <w:qFormat/>
    <w:uiPriority w:val="99"/>
    <w:pPr>
      <w:snapToGrid w:val="0"/>
      <w:jc w:val="left"/>
    </w:pPr>
    <w:rPr>
      <w:sz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 Char Char"/>
    <w:basedOn w:val="1"/>
    <w:link w:val="11"/>
    <w:qFormat/>
    <w:uiPriority w:val="0"/>
    <w:rPr>
      <w:rFonts w:eastAsia="宋体"/>
      <w:sz w:val="21"/>
      <w:szCs w:val="20"/>
    </w:rPr>
  </w:style>
  <w:style w:type="character" w:styleId="13">
    <w:name w:val="footnote reference"/>
    <w:basedOn w:val="11"/>
    <w:unhideWhenUsed/>
    <w:qFormat/>
    <w:uiPriority w:val="99"/>
    <w:rPr>
      <w:vertAlign w:val="superscript"/>
    </w:rPr>
  </w:style>
  <w:style w:type="paragraph" w:customStyle="1" w:styleId="14">
    <w:name w:val="Normal Indent1"/>
    <w:basedOn w:val="15"/>
    <w:qFormat/>
    <w:uiPriority w:val="0"/>
    <w:pPr>
      <w:spacing w:line="360" w:lineRule="auto"/>
      <w:ind w:firstLine="200" w:firstLineChars="200"/>
    </w:pPr>
    <w:rPr>
      <w:rFonts w:hint="default"/>
      <w:sz w:val="24"/>
    </w:rPr>
  </w:style>
  <w:style w:type="paragraph" w:customStyle="1" w:styleId="15">
    <w:name w:val="Normal"/>
    <w:qFormat/>
    <w:uiPriority w:val="0"/>
    <w:pPr>
      <w:widowControl w:val="0"/>
      <w:jc w:val="both"/>
    </w:pPr>
    <w:rPr>
      <w:rFonts w:hint="eastAsia" w:ascii="Times New Roman" w:hAnsi="Times New Roman" w:eastAsia="宋体" w:cs="Calibri"/>
      <w:kern w:val="2"/>
      <w:sz w:val="21"/>
      <w:lang w:val="en-US" w:eastAsia="zh-CN"/>
    </w:rPr>
  </w:style>
  <w:style w:type="paragraph" w:customStyle="1" w:styleId="16">
    <w:name w:val="Body text|1"/>
    <w:basedOn w:val="1"/>
    <w:qFormat/>
    <w:uiPriority w:val="0"/>
    <w:pPr>
      <w:spacing w:line="418" w:lineRule="auto"/>
      <w:ind w:firstLine="400"/>
    </w:pPr>
    <w:rPr>
      <w:rFonts w:ascii="宋体" w:hAnsi="宋体" w:cs="宋体"/>
      <w:color w:val="30313F"/>
      <w:sz w:val="28"/>
      <w:szCs w:val="28"/>
      <w:lang w:val="zh-TW" w:eastAsia="zh-TW" w:bidi="zh-TW"/>
    </w:rPr>
  </w:style>
  <w:style w:type="character" w:customStyle="1" w:styleId="17">
    <w:name w:val="content1"/>
    <w:basedOn w:val="11"/>
    <w:qFormat/>
    <w:uiPriority w:val="0"/>
    <w:rPr>
      <w:sz w:val="21"/>
      <w:szCs w:val="21"/>
    </w:rPr>
  </w:style>
  <w:style w:type="character" w:customStyle="1" w:styleId="18">
    <w:name w:val="纯文本 Char"/>
    <w:link w:val="5"/>
    <w:qFormat/>
    <w:uiPriority w:val="0"/>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2021-11-29T14:10:00Z</dcterms:created>
  <dc:creator>Administrator</dc:creator>
  <cp:lastModifiedBy>霍伟波</cp:lastModifiedBy>
  <dcterms:modified xsi:type="dcterms:W3CDTF">2024-04-01T02:25:56Z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4D359388DBC54E7DA51E34F2EE924CC0</vt:lpwstr>
  </property>
</Properties>
</file>