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2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vertAlign w:val="baseline"/>
          <w:lang w:val="en-US" w:eastAsia="zh-CN"/>
        </w:rPr>
        <w:t>附件2：           项目评审编号：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vertAlign w:val="baseline"/>
          <w:lang w:val="en-US" w:eastAsia="zh-CN"/>
        </w:rPr>
        <w:t xml:space="preserve">    评委签名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u w:val="none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u w:val="single"/>
          <w:vertAlign w:val="baseline"/>
          <w:lang w:val="en-US" w:eastAsia="zh-CN"/>
        </w:rPr>
        <w:t xml:space="preserve">            </w:t>
      </w:r>
    </w:p>
    <w:tbl>
      <w:tblPr>
        <w:tblStyle w:val="4"/>
        <w:tblpPr w:leftFromText="180" w:rightFromText="180" w:vertAnchor="text" w:horzAnchor="page" w:tblpX="1189" w:tblpY="900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40"/>
        <w:gridCol w:w="570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3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560" w:lineRule="exact"/>
              <w:ind w:right="0"/>
              <w:jc w:val="both"/>
              <w:rPr>
                <w:rFonts w:hint="eastAsia" w:ascii="Arial" w:eastAsia="方正小标宋简体"/>
                <w:sz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36"/>
                <w:szCs w:val="36"/>
                <w:shd w:val="clear" w:fill="FFFFFF"/>
                <w:lang w:eastAsia="zh-CN"/>
              </w:rPr>
              <w:t>广州市白云区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36"/>
                <w:szCs w:val="36"/>
                <w:shd w:val="clear" w:fill="FFFFFF"/>
                <w:lang w:val="en-US" w:eastAsia="zh-CN"/>
              </w:rPr>
              <w:t>第三届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36"/>
                <w:szCs w:val="36"/>
                <w:shd w:val="clear" w:fill="FFFFFF"/>
                <w:lang w:eastAsia="zh-CN"/>
              </w:rPr>
              <w:t>社会组织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36"/>
                <w:szCs w:val="36"/>
                <w:shd w:val="clear" w:fill="FFFFFF"/>
                <w:lang w:val="en-US" w:eastAsia="zh-CN"/>
              </w:rPr>
              <w:t>公益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36"/>
                <w:szCs w:val="36"/>
                <w:shd w:val="clear" w:fill="FFFFFF"/>
                <w:lang w:eastAsia="zh-CN"/>
              </w:rPr>
              <w:t>创投项目评审评分标准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一级指标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二级指标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评审标准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hanging="2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机构宗旨与项目性质契合度，满分5分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创投主体宗旨、业务范围与项目服务内容相契合，得5分；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创投主体宗旨、业务范围与项目服务内容相关性较小的，0分≤得分≤3分。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制度与团队建设情况，满分5分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具有相关管理制度、项目团队成员具有相关专业资质或工作经验、分工明确，且至少一名成员为机构专职人员的，得5分；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具有相关管理制度，项目团队成员分工清晰，且至少一名成员为机构专职人员的，得3分；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其他视情况得分。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机构等级评估情况，满分5分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获得社会组织评估等级3A及以上的，得5分；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参加等级评估，获得1A及以上的，得2分；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其他情况不得分。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机构党建工作情况，满分5分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已建党组织的，且充分发挥作用的，得5分；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已建党组织的，在党建工作方面有一定经验的，得3分；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无党组织的  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定位公益性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（15分）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服务范围适配度，满分10分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项目实施地点为白云区，服务指向明确，受益群体精准，服务覆盖范围广，5分&lt;得分≤10分；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项目实施地点为白云区，基本满足社会服务需求的，服务覆盖人群范围较小的，1分≤得分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实施地点非白云区的，不得分。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项目公益色彩突出，满分5分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公益色彩突出，符合民生实际，实施后能够有效推动公益慈善事业发展的，3分&lt;得分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项目具有一定的公益特征，一定程度上可以推动公益慈善事业发展的，1分≤得分≤3分；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项目公益性定位存疑的，不得分。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方案可行性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(25分)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项目目标界定清晰，满分10分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项目清晰界定了受益对象和受益人数，目标清晰合理，项目成效可衡量，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项目书撰写规范、逻辑清晰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5分&lt;得分≤10分；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项目受益对象、目标和成效界定较清晰，1分≤得分</w:t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项目缺少对受益对象、目标和成效界定的，不得分。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项目进度安排合理，满分10分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项目进度安排合理，具有清晰工作计划保障目标达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成的，5分&lt;得分≤10分；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项目进度安排及工作计划较合理，能够基本保证项目实施和目标达成，3分≤得分</w:t>
            </w:r>
            <w:bookmarkStart w:id="3" w:name="OLE_LINK9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项目进度安排合理性不足的，0分≤得分</w:t>
            </w:r>
            <w:bookmarkStart w:id="4" w:name="OLE_LINK1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&lt;3分</w:t>
            </w:r>
            <w:bookmarkEnd w:id="4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项目设计创新性，满分5分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项目理念具有先进性、能配合党委政府政策落地的，或项目内容新颖、实施模式有新意的，3分&lt;得分≤5分；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项目理念先有一定先进性，项目内容较为新颖、实施模式有一定创意的，1分&lt;得分≤3分；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项目整体创新性较弱的，0分≤得分≤1分。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(15分)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项目的可推广性，满分5分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项目运作模式有利于实操借鉴，能有效扩大资金使用效益，3分&lt;得分≤5分;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项目运作模式具有一定推广意义，1分&lt;得分≤3分;项目可推广性不足的，0分≤得分≤1分。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项目具有示范性价值，满分10分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项目具有可持续发展潜力，对推动社会建设具有示范性价值，5分&lt;得分≤10分;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项目运作模式具有一定示范性和可持续发展潜力，3分≤得分≤5分;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项目示范性较弱的，</w:t>
            </w:r>
            <w:bookmarkStart w:id="5" w:name="OLE_LINK1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0分</w:t>
            </w:r>
            <w:bookmarkStart w:id="6" w:name="OLE_LINK1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得分&lt;3分</w:t>
            </w:r>
            <w:bookmarkEnd w:id="5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经费保障性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预算清晰与合理性，满分10分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有明确、精细的经费预算的，经费预算安排合理，符合现有物价水平的，5分</w:t>
            </w:r>
            <w:bookmarkStart w:id="7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</w:t>
            </w:r>
            <w:bookmarkEnd w:id="7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得分≤10分；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有明确的经费预算的，经费预算安排比较合理的，3分≤得分</w:t>
            </w:r>
            <w:bookmarkStart w:id="8" w:name="OLE_LINK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8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经费预算较为笼统的，经费预算安排与项目服务内容关联性较弱的，0分</w:t>
            </w:r>
            <w:bookmarkStart w:id="9" w:name="OLE_LINK5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9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得分&lt;3分。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申报单位财务保障，满分5分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创投主体财务报表详细，且财务状况良好的(新成立创投主体能提供财务制度的),3分&lt;得分</w:t>
            </w:r>
            <w:bookmarkStart w:id="10" w:name="OLE_LINK1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创投主体财务状况一般的，1分≤得分≤3分；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创投主体财务状况不明的(新成立创投主体未能提供财务制度的),不得分。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自筹配套资金落实，满分10分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自筹配套资金比例≥40%，配套资金筹集方案科学、可行，清楚说明资金来源的，5分＜得分</w:t>
            </w:r>
            <w:bookmarkStart w:id="11" w:name="OLE_LINK8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</w:t>
            </w:r>
            <w:bookmarkStart w:id="13" w:name="_GoBack"/>
            <w:bookmarkEnd w:id="1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自筹配套资金比例≥40%，配套资金的筹资方案目标较明确、有一定可行性3分≤得分≤5分；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bookmarkStart w:id="12" w:name="OLE_LINK7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</w:t>
            </w:r>
            <w:bookmarkEnd w:id="1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，筹集配套资金方案笼统模糊的，不能很好说明配套资金来源的，0分≤得分&lt;3分。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总  分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3CCC11-AC36-47E6-9FD9-31BF9B1C2A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B815343-DD6D-4C91-B041-55CECB62FCB2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2682A1-C820-44DA-958B-704786C817F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FA475E5-5143-4B19-AE89-297521F0DF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13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zE4MWQ2ODk3NzMzODhjMDIxMmM4M2FkODMyMGYifQ=="/>
  </w:docVars>
  <w:rsids>
    <w:rsidRoot w:val="20076AB2"/>
    <w:rsid w:val="00E8160A"/>
    <w:rsid w:val="01204FE7"/>
    <w:rsid w:val="01B33A95"/>
    <w:rsid w:val="01C002B7"/>
    <w:rsid w:val="01CB2F01"/>
    <w:rsid w:val="02AD621A"/>
    <w:rsid w:val="02E45BCC"/>
    <w:rsid w:val="0364779F"/>
    <w:rsid w:val="051536FE"/>
    <w:rsid w:val="066A7A79"/>
    <w:rsid w:val="07537A15"/>
    <w:rsid w:val="075C73C2"/>
    <w:rsid w:val="07FC1127"/>
    <w:rsid w:val="094B3B92"/>
    <w:rsid w:val="09A24CDB"/>
    <w:rsid w:val="0A590531"/>
    <w:rsid w:val="0C5E3BDC"/>
    <w:rsid w:val="0C873133"/>
    <w:rsid w:val="0C9D4705"/>
    <w:rsid w:val="0CE265BB"/>
    <w:rsid w:val="0D821B4C"/>
    <w:rsid w:val="0DA1776A"/>
    <w:rsid w:val="0DA41AC3"/>
    <w:rsid w:val="0E0C489A"/>
    <w:rsid w:val="0E263C21"/>
    <w:rsid w:val="0E9E4764"/>
    <w:rsid w:val="0EDA076B"/>
    <w:rsid w:val="0FAB0EE6"/>
    <w:rsid w:val="0FAB7138"/>
    <w:rsid w:val="0FE32D76"/>
    <w:rsid w:val="103A226A"/>
    <w:rsid w:val="111807FE"/>
    <w:rsid w:val="11E00A63"/>
    <w:rsid w:val="126C0647"/>
    <w:rsid w:val="12905384"/>
    <w:rsid w:val="12A12A75"/>
    <w:rsid w:val="12F26E2C"/>
    <w:rsid w:val="159B7C4F"/>
    <w:rsid w:val="159F4C86"/>
    <w:rsid w:val="15A84FF5"/>
    <w:rsid w:val="1647529D"/>
    <w:rsid w:val="17233A58"/>
    <w:rsid w:val="1A023DF9"/>
    <w:rsid w:val="1A722F70"/>
    <w:rsid w:val="1A937147"/>
    <w:rsid w:val="1C7533AD"/>
    <w:rsid w:val="1C8E7BC6"/>
    <w:rsid w:val="1CFA34AD"/>
    <w:rsid w:val="1D854AFC"/>
    <w:rsid w:val="1E2D48B7"/>
    <w:rsid w:val="1F127786"/>
    <w:rsid w:val="1FFF3F0C"/>
    <w:rsid w:val="2000198D"/>
    <w:rsid w:val="20016901"/>
    <w:rsid w:val="20076AB2"/>
    <w:rsid w:val="214B19AF"/>
    <w:rsid w:val="21893A13"/>
    <w:rsid w:val="21947825"/>
    <w:rsid w:val="21B80CDF"/>
    <w:rsid w:val="21B91FE3"/>
    <w:rsid w:val="21D13E07"/>
    <w:rsid w:val="22165BBB"/>
    <w:rsid w:val="22865EB4"/>
    <w:rsid w:val="22E04EF3"/>
    <w:rsid w:val="22FA1427"/>
    <w:rsid w:val="23CA449C"/>
    <w:rsid w:val="2403533D"/>
    <w:rsid w:val="25407ECB"/>
    <w:rsid w:val="264F6618"/>
    <w:rsid w:val="272A139B"/>
    <w:rsid w:val="28081174"/>
    <w:rsid w:val="28660E58"/>
    <w:rsid w:val="29084DDE"/>
    <w:rsid w:val="29143B49"/>
    <w:rsid w:val="29167977"/>
    <w:rsid w:val="294A57BC"/>
    <w:rsid w:val="2A031B7E"/>
    <w:rsid w:val="2A151926"/>
    <w:rsid w:val="2A261D85"/>
    <w:rsid w:val="2A9815F1"/>
    <w:rsid w:val="2B51698E"/>
    <w:rsid w:val="2B922289"/>
    <w:rsid w:val="2C22032B"/>
    <w:rsid w:val="2D2626A0"/>
    <w:rsid w:val="2D8F19F0"/>
    <w:rsid w:val="2DD76C40"/>
    <w:rsid w:val="2DD82143"/>
    <w:rsid w:val="2E1343CF"/>
    <w:rsid w:val="2E5A0D13"/>
    <w:rsid w:val="2EAB5D1F"/>
    <w:rsid w:val="2F3C780C"/>
    <w:rsid w:val="2F7A1C06"/>
    <w:rsid w:val="30077F63"/>
    <w:rsid w:val="30275F10"/>
    <w:rsid w:val="3057125D"/>
    <w:rsid w:val="31013C75"/>
    <w:rsid w:val="310E5509"/>
    <w:rsid w:val="314F5F72"/>
    <w:rsid w:val="317B29B7"/>
    <w:rsid w:val="31CE7B45"/>
    <w:rsid w:val="32204A65"/>
    <w:rsid w:val="327A5A60"/>
    <w:rsid w:val="32DE5784"/>
    <w:rsid w:val="32DF3206"/>
    <w:rsid w:val="333746BC"/>
    <w:rsid w:val="33DE3038"/>
    <w:rsid w:val="346C040E"/>
    <w:rsid w:val="352275ED"/>
    <w:rsid w:val="358209CB"/>
    <w:rsid w:val="35DC779C"/>
    <w:rsid w:val="35FA219E"/>
    <w:rsid w:val="36B85A54"/>
    <w:rsid w:val="37B3277F"/>
    <w:rsid w:val="380E3E07"/>
    <w:rsid w:val="3ADB6274"/>
    <w:rsid w:val="3B5073DC"/>
    <w:rsid w:val="3B7F24AA"/>
    <w:rsid w:val="3C5B6995"/>
    <w:rsid w:val="3CCF0735"/>
    <w:rsid w:val="3D19224B"/>
    <w:rsid w:val="3D4225DB"/>
    <w:rsid w:val="3E5E3444"/>
    <w:rsid w:val="3EAF5B65"/>
    <w:rsid w:val="40273D0A"/>
    <w:rsid w:val="40595BA0"/>
    <w:rsid w:val="40682937"/>
    <w:rsid w:val="42274E97"/>
    <w:rsid w:val="43372AD6"/>
    <w:rsid w:val="43AD2778"/>
    <w:rsid w:val="43FD3798"/>
    <w:rsid w:val="44266B5B"/>
    <w:rsid w:val="44433F0D"/>
    <w:rsid w:val="446948F1"/>
    <w:rsid w:val="4492209A"/>
    <w:rsid w:val="44CA7669"/>
    <w:rsid w:val="44F22B38"/>
    <w:rsid w:val="453F38A4"/>
    <w:rsid w:val="458D51A8"/>
    <w:rsid w:val="45D65FB6"/>
    <w:rsid w:val="472033C0"/>
    <w:rsid w:val="475E2EA5"/>
    <w:rsid w:val="4763732D"/>
    <w:rsid w:val="478B4B7E"/>
    <w:rsid w:val="48934632"/>
    <w:rsid w:val="4A5F5A11"/>
    <w:rsid w:val="4A6A3171"/>
    <w:rsid w:val="4AAB7BDA"/>
    <w:rsid w:val="4B6B71A0"/>
    <w:rsid w:val="4DB34E2F"/>
    <w:rsid w:val="4E391564"/>
    <w:rsid w:val="4E622728"/>
    <w:rsid w:val="4EC00544"/>
    <w:rsid w:val="4F4E4E0F"/>
    <w:rsid w:val="4F547732"/>
    <w:rsid w:val="4FA7451F"/>
    <w:rsid w:val="50D05D25"/>
    <w:rsid w:val="533D7674"/>
    <w:rsid w:val="53563145"/>
    <w:rsid w:val="538F7E27"/>
    <w:rsid w:val="54236053"/>
    <w:rsid w:val="543A3BB4"/>
    <w:rsid w:val="54FE5A7F"/>
    <w:rsid w:val="555F6D9E"/>
    <w:rsid w:val="5635357E"/>
    <w:rsid w:val="56600055"/>
    <w:rsid w:val="56B7773E"/>
    <w:rsid w:val="575B3360"/>
    <w:rsid w:val="57783371"/>
    <w:rsid w:val="57BD5228"/>
    <w:rsid w:val="58D41047"/>
    <w:rsid w:val="58E169DF"/>
    <w:rsid w:val="59E7033A"/>
    <w:rsid w:val="59F842F5"/>
    <w:rsid w:val="5A2F4103"/>
    <w:rsid w:val="5AC97CB7"/>
    <w:rsid w:val="5BCB73A7"/>
    <w:rsid w:val="5C1E200D"/>
    <w:rsid w:val="5DAB78D0"/>
    <w:rsid w:val="5EA558D6"/>
    <w:rsid w:val="5ED15115"/>
    <w:rsid w:val="5F5E4D05"/>
    <w:rsid w:val="5F816B3B"/>
    <w:rsid w:val="5FEB66AA"/>
    <w:rsid w:val="60465003"/>
    <w:rsid w:val="604F208F"/>
    <w:rsid w:val="60C00E87"/>
    <w:rsid w:val="60FC5A2B"/>
    <w:rsid w:val="6106379C"/>
    <w:rsid w:val="6138147B"/>
    <w:rsid w:val="61910685"/>
    <w:rsid w:val="63402869"/>
    <w:rsid w:val="64482C14"/>
    <w:rsid w:val="64900E0A"/>
    <w:rsid w:val="65F56152"/>
    <w:rsid w:val="673D196D"/>
    <w:rsid w:val="67DC5256"/>
    <w:rsid w:val="684410C9"/>
    <w:rsid w:val="684C1B2A"/>
    <w:rsid w:val="69A73642"/>
    <w:rsid w:val="69C935B8"/>
    <w:rsid w:val="6A3749C6"/>
    <w:rsid w:val="6A66349E"/>
    <w:rsid w:val="6AF15601"/>
    <w:rsid w:val="6B4C44A1"/>
    <w:rsid w:val="6BC40E5C"/>
    <w:rsid w:val="6BDC4305"/>
    <w:rsid w:val="6BF43887"/>
    <w:rsid w:val="6C0C59DE"/>
    <w:rsid w:val="6C205CF3"/>
    <w:rsid w:val="6C3B7BA1"/>
    <w:rsid w:val="6C515AE7"/>
    <w:rsid w:val="6D5737F1"/>
    <w:rsid w:val="6E0A3294"/>
    <w:rsid w:val="6F7C56F5"/>
    <w:rsid w:val="6F8F7052"/>
    <w:rsid w:val="6FC77366"/>
    <w:rsid w:val="708539A9"/>
    <w:rsid w:val="71597204"/>
    <w:rsid w:val="719515E7"/>
    <w:rsid w:val="71CD79BE"/>
    <w:rsid w:val="71CE2A46"/>
    <w:rsid w:val="71F02BFB"/>
    <w:rsid w:val="721E02E5"/>
    <w:rsid w:val="74934EEE"/>
    <w:rsid w:val="74A17F65"/>
    <w:rsid w:val="74F841F7"/>
    <w:rsid w:val="751029E3"/>
    <w:rsid w:val="754664F5"/>
    <w:rsid w:val="762B73A9"/>
    <w:rsid w:val="762E4274"/>
    <w:rsid w:val="76EE55AC"/>
    <w:rsid w:val="773F310C"/>
    <w:rsid w:val="774C154D"/>
    <w:rsid w:val="77FC1EE6"/>
    <w:rsid w:val="78FB568C"/>
    <w:rsid w:val="79F1491F"/>
    <w:rsid w:val="7A16385A"/>
    <w:rsid w:val="7AC8587C"/>
    <w:rsid w:val="7B0C77A9"/>
    <w:rsid w:val="7B250B62"/>
    <w:rsid w:val="7B8B0FA0"/>
    <w:rsid w:val="7B9207C8"/>
    <w:rsid w:val="7BA7127F"/>
    <w:rsid w:val="7BB26AFF"/>
    <w:rsid w:val="7D1110A6"/>
    <w:rsid w:val="7DF764EE"/>
    <w:rsid w:val="7EC9775F"/>
    <w:rsid w:val="7F4853E1"/>
    <w:rsid w:val="7F5F0F22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表格文字"/>
    <w:basedOn w:val="7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7">
    <w:name w:val="正文 New New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2</Pages>
  <Words>1546</Words>
  <Characters>1580</Characters>
  <Lines>0</Lines>
  <Paragraphs>0</Paragraphs>
  <TotalTime>2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2022-08-24T09:09:00Z</dcterms:created>
  <dc:creator>user</dc:creator>
  <cp:lastModifiedBy>龙哥</cp:lastModifiedBy>
  <cp:lastPrinted>2023-08-16T06:17:00Z</cp:lastPrinted>
  <dcterms:modified xsi:type="dcterms:W3CDTF">2024-07-12T02:01:20Z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CD6413AF313140A38AE8EB3DABC33B19</vt:lpwstr>
  </property>
</Properties>
</file>