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both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广州市白云区龙归街两违和市容环境整治服务项目单价表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（1）清拆违法建筑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 w:bidi="ar-SA"/>
        </w:rPr>
        <w:t>项目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单价表。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04"/>
        <w:gridCol w:w="3494"/>
        <w:gridCol w:w="739"/>
        <w:gridCol w:w="61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项目特征描述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计量单位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综合单价最高限价（元）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整体拆除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类型：民用建筑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结构类型：N、A、B、C结构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3.拆除方式：机械、人工综合考虑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层高：综合考虑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建筑废料由被拆除方在规定时间内自行处理，如逾期不清理，则由所在村社处理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m2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整体拆除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类型：民用建筑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结构类型：D（简易结构）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3.拆除方式：机械、人工综合考虑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层高：综合考虑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建筑废料由被拆除方在规定时间内自行处理，如逾期不清理，则由所在村社处理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m2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硬底化拆除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拆除方式：机械、人工综合考虑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建筑废料由被拆除方在规定时间内自行处理，如逾期不清理，则由所在村社处理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.若时间紧急，则由中标方先处理，再向村社按中标价格追讨费用。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m2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（2）市容环境整治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项目单价表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126"/>
        <w:gridCol w:w="3507"/>
        <w:gridCol w:w="725"/>
        <w:gridCol w:w="64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项目特征描述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计量单位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综合单价最高限价（元）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中型拖车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1.中型拖车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50-70吨吊车（含50吨）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50-70吨吊车（含50吨）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30-50吨吊车（含30吨）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30-50吨吊车（含30吨）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30吨以下吊车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30吨以下吊车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中型运输车（10吨或以上）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中型运输车（10吨或以上）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小型运输车（10吨以下）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小型运输车（10吨以下）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18-20米高空作业车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18-20米高空作业车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超25米高空作业车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超25米高空作业车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中型铲车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中型铲车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叉车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叉车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en-US" w:bidi="ar-SA"/>
              </w:rPr>
              <w:t>台班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各专业工人</w:t>
            </w:r>
          </w:p>
        </w:tc>
        <w:tc>
          <w:tcPr>
            <w:tcW w:w="35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lang w:val="en-US" w:eastAsia="en-US" w:bidi="ar-SA"/>
              </w:rPr>
              <w:t>各专业工人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工日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注：1.在本项目实施过程中如遇到清拆违法建筑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项目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单价表没有标示的价格，由采购人和中标人双方进行协商，最终由采购人决定价格；每样结算单价=收费单价×</w:t>
      </w:r>
      <w:r>
        <w:rPr>
          <w:rFonts w:hint="eastAsia" w:ascii="宋体" w:hAnsi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[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1-中标下浮率</w:t>
      </w:r>
      <w:r>
        <w:rPr>
          <w:rFonts w:hint="eastAsia" w:ascii="宋体" w:hAnsi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(优惠率)]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96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2.本项目应优先采用表（1）的方法进行计价，如确有特殊情况，需要人工对原主体结构拆除施工（非加建部分）且施工难度大、时间长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或市容环境整治项目内容的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，经街道办事处确认，可按表（2）规定的综合单价进行计价。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en-US" w:bidi="ar-SA"/>
        </w:rPr>
        <w:t>市容环境整治</w:t>
      </w:r>
      <w:r>
        <w:rPr>
          <w:rFonts w:hint="eastAsia" w:ascii="宋体" w:hAnsi="宋体" w:eastAsia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项目单价表</w:t>
      </w:r>
      <w:r>
        <w:rPr>
          <w:rFonts w:hint="eastAsia" w:ascii="宋体" w:hAnsi="宋体" w:cs="宋体"/>
          <w:color w:val="000000"/>
          <w:spacing w:val="-6"/>
          <w:sz w:val="21"/>
          <w:szCs w:val="21"/>
          <w:highlight w:val="none"/>
          <w:lang w:val="en-US" w:eastAsia="zh-CN" w:bidi="ar-SA"/>
        </w:rPr>
        <w:t>中，如果聘请机械及工人是半天（4小时内），按照价钱相应一半结算。</w:t>
      </w: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WU1MzczNjE4ZjcxNmZiMjcxNDgwNjc0MmVlNzYifQ=="/>
    <w:docVar w:name="KSO_WPS_MARK_KEY" w:val="76bbf20a-b144-42d6-9bef-7b90beb6359a"/>
  </w:docVars>
  <w:rsids>
    <w:rsidRoot w:val="00CF280A"/>
    <w:rsid w:val="00062EAD"/>
    <w:rsid w:val="000811BE"/>
    <w:rsid w:val="0026748E"/>
    <w:rsid w:val="003605E4"/>
    <w:rsid w:val="00361364"/>
    <w:rsid w:val="008117A0"/>
    <w:rsid w:val="009A6C12"/>
    <w:rsid w:val="00CD0244"/>
    <w:rsid w:val="00CF280A"/>
    <w:rsid w:val="00D258B7"/>
    <w:rsid w:val="00FE7FB3"/>
    <w:rsid w:val="017D72BE"/>
    <w:rsid w:val="01AA5B27"/>
    <w:rsid w:val="03250E34"/>
    <w:rsid w:val="03B307C8"/>
    <w:rsid w:val="042E0790"/>
    <w:rsid w:val="04EF6204"/>
    <w:rsid w:val="05F46447"/>
    <w:rsid w:val="077F651F"/>
    <w:rsid w:val="0879339C"/>
    <w:rsid w:val="08C46BC8"/>
    <w:rsid w:val="0A5D16BA"/>
    <w:rsid w:val="0A670558"/>
    <w:rsid w:val="0B3C3FF3"/>
    <w:rsid w:val="0B3E786F"/>
    <w:rsid w:val="0C65154A"/>
    <w:rsid w:val="0D707175"/>
    <w:rsid w:val="0DEA7CDD"/>
    <w:rsid w:val="0EE92CC1"/>
    <w:rsid w:val="10BF57E0"/>
    <w:rsid w:val="120A50D5"/>
    <w:rsid w:val="135126A6"/>
    <w:rsid w:val="13DB5B12"/>
    <w:rsid w:val="1411794B"/>
    <w:rsid w:val="144C0EBD"/>
    <w:rsid w:val="164A57CD"/>
    <w:rsid w:val="18374FE8"/>
    <w:rsid w:val="19032083"/>
    <w:rsid w:val="195A5E2A"/>
    <w:rsid w:val="1AC9694B"/>
    <w:rsid w:val="1B432EE1"/>
    <w:rsid w:val="1CD75BB9"/>
    <w:rsid w:val="1CDC6BFF"/>
    <w:rsid w:val="1EA01E32"/>
    <w:rsid w:val="1F5F6033"/>
    <w:rsid w:val="20E92118"/>
    <w:rsid w:val="22032E04"/>
    <w:rsid w:val="2259482F"/>
    <w:rsid w:val="22624D03"/>
    <w:rsid w:val="22D11D9D"/>
    <w:rsid w:val="239F14E9"/>
    <w:rsid w:val="259326F1"/>
    <w:rsid w:val="262F2513"/>
    <w:rsid w:val="26C0472C"/>
    <w:rsid w:val="2753282F"/>
    <w:rsid w:val="27996D2F"/>
    <w:rsid w:val="27CF71D4"/>
    <w:rsid w:val="28293D93"/>
    <w:rsid w:val="28F039B6"/>
    <w:rsid w:val="291D29FD"/>
    <w:rsid w:val="29C37C4A"/>
    <w:rsid w:val="29E17ECF"/>
    <w:rsid w:val="2AF61758"/>
    <w:rsid w:val="2BC929C8"/>
    <w:rsid w:val="2CE43832"/>
    <w:rsid w:val="2D4D2C4B"/>
    <w:rsid w:val="2F565B3F"/>
    <w:rsid w:val="3006187E"/>
    <w:rsid w:val="31A55C86"/>
    <w:rsid w:val="32033971"/>
    <w:rsid w:val="33F60246"/>
    <w:rsid w:val="33FF0179"/>
    <w:rsid w:val="345772AB"/>
    <w:rsid w:val="379E6994"/>
    <w:rsid w:val="37A44959"/>
    <w:rsid w:val="3A73324E"/>
    <w:rsid w:val="3B135A0E"/>
    <w:rsid w:val="3C3F6133"/>
    <w:rsid w:val="3CAD771B"/>
    <w:rsid w:val="3D3E6AB5"/>
    <w:rsid w:val="3DEB75DC"/>
    <w:rsid w:val="3F21702A"/>
    <w:rsid w:val="3F9211C2"/>
    <w:rsid w:val="40726609"/>
    <w:rsid w:val="42D77E85"/>
    <w:rsid w:val="468143D8"/>
    <w:rsid w:val="46A41151"/>
    <w:rsid w:val="4781725F"/>
    <w:rsid w:val="48881B79"/>
    <w:rsid w:val="489A42A3"/>
    <w:rsid w:val="49AC1665"/>
    <w:rsid w:val="4B6E36DE"/>
    <w:rsid w:val="4B8B1283"/>
    <w:rsid w:val="4D503220"/>
    <w:rsid w:val="4E174FE3"/>
    <w:rsid w:val="51321F21"/>
    <w:rsid w:val="527F195C"/>
    <w:rsid w:val="542A5496"/>
    <w:rsid w:val="54BA4CF5"/>
    <w:rsid w:val="54BD1CC8"/>
    <w:rsid w:val="561635A1"/>
    <w:rsid w:val="590A624B"/>
    <w:rsid w:val="595069BF"/>
    <w:rsid w:val="5A083CB1"/>
    <w:rsid w:val="5A8E6A07"/>
    <w:rsid w:val="5AC65F06"/>
    <w:rsid w:val="5B2B1FCC"/>
    <w:rsid w:val="5C4D56DB"/>
    <w:rsid w:val="5D220F7D"/>
    <w:rsid w:val="5DA73809"/>
    <w:rsid w:val="5E186228"/>
    <w:rsid w:val="5E3E60F9"/>
    <w:rsid w:val="5E530188"/>
    <w:rsid w:val="5EA259C7"/>
    <w:rsid w:val="60634492"/>
    <w:rsid w:val="609B5EB0"/>
    <w:rsid w:val="60C05616"/>
    <w:rsid w:val="610D33E8"/>
    <w:rsid w:val="613D3263"/>
    <w:rsid w:val="61E362D6"/>
    <w:rsid w:val="61F05C2A"/>
    <w:rsid w:val="6259214B"/>
    <w:rsid w:val="62975B50"/>
    <w:rsid w:val="63FD62F6"/>
    <w:rsid w:val="641E6213"/>
    <w:rsid w:val="64603A6A"/>
    <w:rsid w:val="65F91B21"/>
    <w:rsid w:val="66656357"/>
    <w:rsid w:val="67CE71A8"/>
    <w:rsid w:val="6821439C"/>
    <w:rsid w:val="6975068F"/>
    <w:rsid w:val="6A1C01C1"/>
    <w:rsid w:val="6D92708B"/>
    <w:rsid w:val="6EEB5D7F"/>
    <w:rsid w:val="6FD40F09"/>
    <w:rsid w:val="734343DB"/>
    <w:rsid w:val="74C636A7"/>
    <w:rsid w:val="7601283C"/>
    <w:rsid w:val="762A7CB1"/>
    <w:rsid w:val="7769462C"/>
    <w:rsid w:val="77B16E1F"/>
    <w:rsid w:val="77C80759"/>
    <w:rsid w:val="792E1061"/>
    <w:rsid w:val="79E1128D"/>
    <w:rsid w:val="79EE3136"/>
    <w:rsid w:val="7AC56D30"/>
    <w:rsid w:val="7B127206"/>
    <w:rsid w:val="7BBF641E"/>
    <w:rsid w:val="7C1D67F0"/>
    <w:rsid w:val="7D764086"/>
    <w:rsid w:val="7E8D4916"/>
    <w:rsid w:val="7EDB223D"/>
    <w:rsid w:val="7EFC18E2"/>
    <w:rsid w:val="7F214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77"/>
      <w:jc w:val="both"/>
      <w:outlineLvl w:val="0"/>
    </w:pPr>
    <w:rPr>
      <w:rFonts w:ascii="宋体" w:hAnsi="宋体" w:cs="宋体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</w:style>
  <w:style w:type="paragraph" w:styleId="4">
    <w:name w:val="annotation text"/>
    <w:basedOn w:val="1"/>
    <w:qFormat/>
    <w:uiPriority w:val="99"/>
    <w:pPr>
      <w:widowControl w:val="0"/>
    </w:pPr>
    <w:rPr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912</Words>
  <Characters>1037</Characters>
  <Lines>40</Lines>
  <Paragraphs>11</Paragraphs>
  <TotalTime>18</TotalTime>
  <ScaleCrop>false</ScaleCrop>
  <LinksUpToDate>false</LinksUpToDate>
  <CharactersWithSpaces>1037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2022-03-07T07:34:00Z</dcterms:created>
  <dc:creator>Administrator</dc:creator>
  <cp:lastModifiedBy>刘军烽</cp:lastModifiedBy>
  <cp:lastPrinted>2024-12-13T08:15:39Z</cp:lastPrinted>
  <dcterms:modified xsi:type="dcterms:W3CDTF">2024-12-13T08:19:47Z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5243756CEA7C4628BECA480045C317B2</vt:lpwstr>
  </property>
</Properties>
</file>