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9D13">
      <w:pPr>
        <w:spacing w:line="560" w:lineRule="exact"/>
        <w:ind w:right="2100" w:right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标办法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03"/>
        <w:gridCol w:w="5261"/>
        <w:gridCol w:w="842"/>
        <w:gridCol w:w="777"/>
      </w:tblGrid>
      <w:tr w14:paraId="06753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22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73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04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3B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分值（分）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B7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权重（%）</w:t>
            </w:r>
          </w:p>
        </w:tc>
      </w:tr>
      <w:tr w14:paraId="5C8F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3E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5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1C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技术部分（合计60分）</w:t>
            </w:r>
          </w:p>
        </w:tc>
      </w:tr>
      <w:tr w14:paraId="6DDF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D575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(一)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9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对项目需求的认识和理解</w:t>
            </w:r>
            <w:bookmarkEnd w:id="0"/>
          </w:p>
        </w:tc>
        <w:tc>
          <w:tcPr>
            <w:tcW w:w="30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E2C57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" w:name="OLE_LINK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根据投标人提供对本项目的理解进行综合评分：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（1）对本项目理解和分析完整，工作范围和工作内容认识准确程度高，完全满足且优于项目需求的，得12分；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（2）对本项目理解和分析较完整，工作范围和工作内容认识准确程度较高，完全满足项目需求的，得8分；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（3）对本项目理解和分析基本完整，工作范围和工作内容认识准确程度一般，不完全满足项目需求的，得4分；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（4）不提供或不符合要求不得分。</w:t>
            </w:r>
            <w:bookmarkEnd w:id="1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3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D0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14:paraId="7FAD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C083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(二)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7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2" w:name="OLE_LINK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工作方案</w:t>
            </w:r>
            <w:bookmarkEnd w:id="2"/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C9720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评标委员会根据投标人制定的整体工作方案</w:t>
            </w:r>
            <w:bookmarkStart w:id="3" w:name="OLE_LINK8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的针对性、规范性、可操作性</w:t>
            </w:r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进行综合评分：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bookmarkStart w:id="4" w:name="OLE_LINK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（1）整体工作方案针对性、规范性、可操作性强，完全满足且优于项目需求的，得15分；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（2）整体工作方案针对性、规范性、可操作性较强，完全满足项目需求的，得10分；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（3）整体工作方案针对性、规范性、可操作性一般，不完全满足项目需求的，得5分；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（4）不提供或不符合要求不得分。</w:t>
            </w:r>
            <w:bookmarkEnd w:id="4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D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6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14:paraId="6B82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AED6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(三)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0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5" w:name="OLE_LINK1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项目重点难点分析、应对措施及相关的合理化建议</w:t>
            </w:r>
            <w:bookmarkEnd w:id="5"/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B32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根据投标人提供针对本项目的需求制定项目重点、难点分析，并就重点难点提出应对措施及相关的有针对性的建议进行综合评分：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bookmarkStart w:id="6" w:name="OLE_LINK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（1）重点、难点分析具体详细，应对措施及建议有针对性，完全满足且优于项目需求的，得12分；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（2）重点、难点分析较具体详细，应对措施及建议较有针对性，完全满足项目需求的，得8分；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（3）重点、难点分析不够具体详细，应对措施及建议不够有针对性，不完全满足项目需求的，得4分；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（4）不提供或不符合要求不得分。</w:t>
            </w:r>
            <w:bookmarkEnd w:id="6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74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D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14:paraId="7CE2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2CD0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(四)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6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7" w:name="OLE_LINK1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质量保证方案</w:t>
            </w:r>
            <w:bookmarkEnd w:id="7"/>
          </w:p>
        </w:tc>
        <w:tc>
          <w:tcPr>
            <w:tcW w:w="3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D2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根据投标人提供针对本项目的质量保证措施，方案需包含质量保障措施、计划进度保障进行评审：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bookmarkStart w:id="8" w:name="OLE_LINK1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（1）方案合理、内容详细，质量保障措施具体可行、计划进度保障合理，符合本项目质量保障要求，完全满足且优于项目需求的，得12分；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（2）方案较合理、内容较详细，质量保障措施具体可行、计划进度保障合理，符合本项目质量保障要求，符合一般项目质量保障要求，完全满足项目需求的，得8分；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（3）方案不合理、内容简单，质量保障措施具体可行、计划进度保障合理，符合本项目质量保障要求，不完全符合一般项目质量保障要求，不完全满足项目需求的，得4分；</w:t>
            </w:r>
            <w:bookmarkEnd w:id="8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bookmarkStart w:id="9" w:name="OLE_LINK14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（4）不提供或不符合要求不得分。</w:t>
            </w:r>
            <w:bookmarkEnd w:id="9"/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AE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B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14:paraId="6FF2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2372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(五)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B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10" w:name="OLE_LINK15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保密制度和保密措施</w:t>
            </w:r>
            <w:bookmarkEnd w:id="10"/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D0C3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据投标人提供对本项目保密制度和保密措施进行综合评分：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bookmarkStart w:id="11" w:name="OLE_LINK16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（1）保密制度健全，内容详细，措施可行，完全满足且优于项目需求的，得9分；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（2）保密制度较健全，内容较详细，措施较可行，完全满足项目需求的，得6分；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（3）保密制度基本健全，内容基本详细，措施基本可行，不完全满足项目需求的，得3分；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（4）不提供或不符合要求不得分。</w:t>
            </w:r>
            <w:bookmarkEnd w:id="11"/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2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6E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14:paraId="5D29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6E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kern w:val="0"/>
                <w:sz w:val="20"/>
                <w:szCs w:val="20"/>
              </w:rPr>
              <w:t>二</w:t>
            </w:r>
          </w:p>
        </w:tc>
        <w:tc>
          <w:tcPr>
            <w:tcW w:w="45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5F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商务部分（合计30分）</w:t>
            </w:r>
          </w:p>
        </w:tc>
      </w:tr>
      <w:tr w14:paraId="5A0B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E5C4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(一)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9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2" w:name="OLE_LINK1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同类业绩经验</w:t>
            </w:r>
            <w:bookmarkEnd w:id="12"/>
          </w:p>
        </w:tc>
        <w:tc>
          <w:tcPr>
            <w:tcW w:w="30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10CC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3" w:name="OLE_LINK18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根据投标人提供的2022年1月1日（以合同签订日期为准）至今同类项目业绩进行评审，每提供1个得3分，本项最高得9分。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注：提供合同关键页（含签订合同双方的单位名称、合同项目名称、项目金额与含签订合同双方的落款盖章、签订日期的关键页）</w:t>
            </w:r>
            <w:bookmarkStart w:id="14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复印件。</w:t>
            </w:r>
            <w:bookmarkEnd w:id="13"/>
            <w:bookmarkEnd w:id="14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B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C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</w:tr>
      <w:tr w14:paraId="65D9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702B">
            <w:pPr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(二)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A4DE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5" w:name="OLE_LINK1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团队实力情况</w:t>
            </w:r>
            <w:bookmarkEnd w:id="15"/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D0CF5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6" w:name="OLE_LINK2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根据供应商拟安排的项目技术负责人进行评审：</w:t>
            </w:r>
          </w:p>
          <w:p w14:paraId="6839DC3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1、具有管理学类或经济类研究生学历证书的，得2分；具有管理学类或经济类大专或本科学历证书的，得1分，本小项最高得2分；</w:t>
            </w:r>
          </w:p>
          <w:p w14:paraId="640F01B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2、具有高级及以上职称（大数据类专业）得3分；</w:t>
            </w:r>
          </w:p>
          <w:p w14:paraId="05D1358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具有中级职称（大数据类专业）得2分；</w:t>
            </w:r>
          </w:p>
          <w:p w14:paraId="7EC8485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本小项最高得3分。</w:t>
            </w:r>
          </w:p>
          <w:p w14:paraId="058F682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注：提供项目技术负责人有效</w:t>
            </w:r>
            <w:bookmarkStart w:id="25" w:name="_GoBack"/>
            <w:bookmarkEnd w:id="2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学历证书、职称（资格）证书、2</w:t>
            </w:r>
            <w:bookmarkStart w:id="17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025 年1月1日以来任意1个月供应商为其缴纳社保的证明材料复印件。</w:t>
            </w:r>
            <w:bookmarkEnd w:id="16"/>
            <w:bookmarkEnd w:id="17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6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FC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6C0F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5136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4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98472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8" w:name="OLE_LINK2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根据供应商组建的服务团队（项目技术负责人除外）进行评审：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1.投标人承诺提供不少于6人的项目团队，得2分；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2.拟组建的服务团队成员中，具有副高级或以上统计师职称的每人得1分，最多得5分；具有统计类或经济类或管理类本科或以上学历的每人得1分，最多得3分。本小项最高得8分。</w:t>
            </w:r>
          </w:p>
          <w:p w14:paraId="47D854A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注：①要求提供承诺的，提供承诺函（格式自拟）。②提供相关人员学历证书、职称证书、2025 年1月1日以来任意1个月供应商为其缴纳社保的证明材料复印件。</w:t>
            </w:r>
            <w:bookmarkEnd w:id="18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6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9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0A62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2D6D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7F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9" w:name="OLE_LINK2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供应商获奖情况</w:t>
            </w:r>
            <w:bookmarkEnd w:id="19"/>
          </w:p>
        </w:tc>
        <w:tc>
          <w:tcPr>
            <w:tcW w:w="30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263C2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20" w:name="OLE_LINK2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根据投标人提供的自2022年1月1日至今日（以颁发时间为准）获得政府部门颁发的与统计调查相关荣誉证书，每提供一个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省级或以上的得3分，每提供一个市级的得2分，每提供一个区县级的得1分，最高得6分。</w:t>
            </w:r>
          </w:p>
          <w:p w14:paraId="7F6E93B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注：提供荣誉证书或表彰文件等证明材料印件。</w:t>
            </w:r>
            <w:bookmarkEnd w:id="20"/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7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5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18AE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D60A"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20"/>
                <w:szCs w:val="20"/>
              </w:rPr>
              <w:t>三</w:t>
            </w:r>
          </w:p>
        </w:tc>
        <w:tc>
          <w:tcPr>
            <w:tcW w:w="45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02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价格部分（合计10分）</w:t>
            </w:r>
          </w:p>
        </w:tc>
      </w:tr>
      <w:tr w14:paraId="2A7F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C5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B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21" w:name="OLE_LINK2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投标报价</w:t>
            </w:r>
            <w:bookmarkEnd w:id="21"/>
          </w:p>
        </w:tc>
        <w:tc>
          <w:tcPr>
            <w:tcW w:w="3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327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22" w:name="OLE_LINK2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价格分应当采用低价优先法计算，即满足招标文件要求且投标价格最低的投标报价为评标基准价，其价格分为满分。其他投标人的价格分统一按照下列公式计算：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投标报价得分=(评标基准价／投标报价)×100×权重</w:t>
            </w:r>
            <w:bookmarkEnd w:id="2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bookmarkStart w:id="23" w:name="OLE_LINK2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</w:t>
            </w:r>
            <w:bookmarkEnd w:id="2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 因落实政府采购政策进行价格调整的，以调整后的价格计算评标基准价和投标报价,详见《价格扣除》。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 </w:t>
            </w:r>
            <w:bookmarkStart w:id="24" w:name="OLE_LINK2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投标报价得分四舍五入后，小数点后保留两位有效数。</w:t>
            </w:r>
            <w:bookmarkEnd w:id="24"/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9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3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14:paraId="57C719A4">
      <w:pPr>
        <w:spacing w:line="560" w:lineRule="exact"/>
        <w:ind w:right="2100" w:rightChars="10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4D6953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7E2D4">
    <w:pPr>
      <w:pStyle w:val="3"/>
      <w:adjustRightInd w:val="0"/>
      <w:spacing w:before="48" w:beforeLines="20" w:after="48" w:afterLines="20"/>
      <w:jc w:val="center"/>
      <w:rPr>
        <w:rFonts w:ascii="Times New Roman" w:hAnsi="Times New Roman" w:eastAsia="宋体" w:cs="Times New Roman"/>
        <w:color w:val="000000"/>
        <w:sz w:val="21"/>
      </w:rPr>
    </w:pPr>
    <w:r>
      <w:rPr>
        <w:rFonts w:ascii="Times New Roman" w:hAnsi="Times New Roman" w:eastAsia="宋体" w:cs="Times New Roman"/>
        <w:color w:val="000000"/>
        <w:sz w:val="21"/>
      </w:rPr>
      <w:fldChar w:fldCharType="begin"/>
    </w:r>
    <w:r>
      <w:rPr>
        <w:rFonts w:ascii="Times New Roman" w:hAnsi="Times New Roman" w:eastAsia="宋体" w:cs="Times New Roman"/>
        <w:color w:val="000000"/>
        <w:sz w:val="21"/>
      </w:rPr>
      <w:instrText xml:space="preserve">PAGE   \* MERGEFORMAT</w:instrText>
    </w:r>
    <w:r>
      <w:rPr>
        <w:rFonts w:ascii="Times New Roman" w:hAnsi="Times New Roman" w:eastAsia="宋体" w:cs="Times New Roman"/>
        <w:color w:val="000000"/>
        <w:sz w:val="21"/>
      </w:rPr>
      <w:fldChar w:fldCharType="separate"/>
    </w:r>
    <w:r>
      <w:rPr>
        <w:rFonts w:ascii="Times New Roman" w:hAnsi="Times New Roman" w:eastAsia="宋体" w:cs="Times New Roman"/>
        <w:color w:val="000000"/>
        <w:sz w:val="21"/>
        <w:lang w:val="zh-CN"/>
      </w:rPr>
      <w:t>1</w:t>
    </w:r>
    <w:r>
      <w:rPr>
        <w:rFonts w:ascii="Times New Roman" w:hAnsi="Times New Roman" w:eastAsia="宋体" w:cs="Times New Roman"/>
        <w:color w:val="000000"/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7D0B"/>
    <w:rsid w:val="17004906"/>
    <w:rsid w:val="3BA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1970</Words>
  <Characters>2007</Characters>
  <Lines>0</Lines>
  <Paragraphs>0</Paragraphs>
  <TotalTime>0</TotalTime>
  <ScaleCrop>false</ScaleCrop>
  <LinksUpToDate>false</LinksUpToDate>
  <CharactersWithSpaces>2018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2025-04-03T01:24:00Z</dcterms:created>
  <dc:creator>lenovo</dc:creator>
  <cp:lastModifiedBy>广州民营科技园</cp:lastModifiedBy>
  <dcterms:modified xsi:type="dcterms:W3CDTF">2025-04-03T07:57:38Z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8C5E454873C04053AF2713D9022CF3EA</vt:lpwstr>
  </property>
  <property fmtid="{D5CDD505-2E9C-101B-9397-08002B2CF9AE}" pid="4" name="KSOTemplateDocerSaveRecord">
    <vt:lpwstr>eyJoZGlkIjoiMDliZDFkMzkyNGJjYmI0OGIzMmZlY2I0NzZkODYwOTAifQ==</vt:lpwstr>
  </property>
</Properties>
</file>