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hAnsi="方正小标宋简体" w:eastAsia="方正小标宋简体" w:cs="方正小标宋简体"/>
          <w:b w:val="0"/>
          <w:bCs/>
          <w:kern w:val="44"/>
          <w:sz w:val="44"/>
          <w:szCs w:val="44"/>
          <w:lang w:val="en-US" w:eastAsia="zh-CN" w:bidi="ar-SA"/>
        </w:rPr>
      </w:pPr>
      <w:bookmarkStart w:id="0" w:name="_Toc401575155"/>
      <w:bookmarkStart w:id="1" w:name="_Toc403491571"/>
      <w:r>
        <w:rPr>
          <w:rFonts w:hint="eastAsia" w:ascii="黑体" w:hAnsi="黑体" w:eastAsia="黑体" w:cs="黑体"/>
          <w:b/>
          <w:sz w:val="32"/>
          <w:szCs w:val="32"/>
          <w:highlight w:val="white"/>
        </w:rPr>
        <w:t>附件5</w:t>
      </w:r>
    </w:p>
    <w:p>
      <w:pPr>
        <w:pStyle w:val="2"/>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大源街“十五五”规划编制服务项目</w:t>
      </w:r>
    </w:p>
    <w:p>
      <w:pPr>
        <w:pStyle w:val="2"/>
        <w:jc w:val="center"/>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评分细则</w:t>
      </w:r>
    </w:p>
    <w:p>
      <w:pPr>
        <w:pStyle w:val="3"/>
        <w:numPr>
          <w:ilvl w:val="0"/>
          <w:numId w:val="2"/>
        </w:numPr>
        <w:rPr>
          <w:lang w:val="en-GB"/>
        </w:rPr>
      </w:pPr>
      <w:r>
        <w:rPr>
          <w:rFonts w:hint="eastAsia"/>
          <w:lang w:val="en-GB"/>
        </w:rPr>
        <w:t>评标程序</w:t>
      </w:r>
      <w:bookmarkEnd w:id="0"/>
      <w:bookmarkEnd w:id="1"/>
    </w:p>
    <w:p>
      <w:pPr>
        <w:spacing w:line="360" w:lineRule="auto"/>
        <w:ind w:firstLine="482" w:firstLineChars="200"/>
        <w:rPr>
          <w:rFonts w:ascii="宋体" w:hAnsi="宋体"/>
          <w:b/>
          <w:sz w:val="24"/>
        </w:rPr>
      </w:pPr>
      <w:r>
        <w:rPr>
          <w:rFonts w:hint="eastAsia" w:ascii="宋体" w:hAnsi="宋体"/>
          <w:b/>
          <w:sz w:val="24"/>
          <w:highlight w:val="white"/>
        </w:rPr>
        <w:t>（一）资格审查</w:t>
      </w:r>
    </w:p>
    <w:p>
      <w:pPr>
        <w:tabs>
          <w:tab w:val="left" w:pos="0"/>
        </w:tabs>
        <w:spacing w:line="360" w:lineRule="auto"/>
        <w:ind w:firstLine="480" w:firstLineChars="200"/>
        <w:rPr>
          <w:rFonts w:ascii="宋体" w:hAnsi="宋体"/>
          <w:sz w:val="24"/>
          <w:szCs w:val="22"/>
        </w:rPr>
      </w:pPr>
      <w:r>
        <w:rPr>
          <w:rFonts w:hint="eastAsia" w:ascii="宋体" w:hAnsi="宋体"/>
          <w:sz w:val="24"/>
          <w:highlight w:val="white"/>
        </w:rPr>
        <w:t>1.项目开标结束后，采购人或者交易中心应当依法对投标人的资格进行审查，出现不符合下列情形之一时，作无效投标处理。《资格审查表》如下：</w:t>
      </w:r>
    </w:p>
    <w:tbl>
      <w:tblPr>
        <w:tblStyle w:val="9"/>
        <w:tblW w:w="8396" w:type="dxa"/>
        <w:tblCellSpacing w:w="15" w:type="dxa"/>
        <w:tblInd w:w="0" w:type="dxa"/>
        <w:tblLayout w:type="fixed"/>
        <w:tblCellMar>
          <w:top w:w="0" w:type="dxa"/>
          <w:left w:w="108" w:type="dxa"/>
          <w:bottom w:w="0" w:type="dxa"/>
          <w:right w:w="108" w:type="dxa"/>
        </w:tblCellMar>
      </w:tblPr>
      <w:tblGrid>
        <w:gridCol w:w="8396"/>
      </w:tblGrid>
      <w:tr>
        <w:tblPrEx>
          <w:tblCellMar>
            <w:top w:w="0" w:type="dxa"/>
            <w:left w:w="108" w:type="dxa"/>
            <w:bottom w:w="0" w:type="dxa"/>
            <w:right w:w="108" w:type="dxa"/>
          </w:tblCellMar>
        </w:tblPrEx>
        <w:trPr>
          <w:tblCellSpacing w:w="15" w:type="dxa"/>
        </w:trPr>
        <w:tc>
          <w:tcPr>
            <w:tcW w:w="8336" w:type="dxa"/>
            <w:tcMar>
              <w:top w:w="15" w:type="dxa"/>
              <w:left w:w="15" w:type="dxa"/>
              <w:bottom w:w="15" w:type="dxa"/>
              <w:right w:w="15" w:type="dxa"/>
            </w:tcMar>
            <w:vAlign w:val="center"/>
          </w:tcPr>
          <w:tbl>
            <w:tblPr>
              <w:tblStyle w:val="9"/>
              <w:tblW w:w="8290"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84"/>
              <w:gridCol w:w="7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序号</w:t>
                  </w:r>
                </w:p>
              </w:tc>
              <w:tc>
                <w:tcPr>
                  <w:tcW w:w="7106"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1</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中华人民共和国境内合法存续的企业法人、其他组织。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2</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满足《</w:t>
                  </w:r>
                  <w:r>
                    <w:rPr>
                      <w:rFonts w:hint="eastAsia" w:ascii="宋体" w:hAnsi="宋体" w:cs="宋体"/>
                      <w:sz w:val="24"/>
                      <w:lang w:val="en-US" w:eastAsia="zh-CN"/>
                    </w:rPr>
                    <w:t>中华人民共和国</w:t>
                  </w:r>
                  <w:r>
                    <w:rPr>
                      <w:rFonts w:hint="eastAsia" w:ascii="宋体" w:hAnsi="宋体" w:cs="宋体"/>
                      <w:sz w:val="24"/>
                    </w:rPr>
                    <w:t>政府采购法》第二十二条所规定的条件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szCs w:val="22"/>
                    </w:rPr>
                  </w:pPr>
                  <w:r>
                    <w:rPr>
                      <w:rFonts w:hint="eastAsia" w:ascii="宋体" w:hAnsi="宋体" w:cs="宋体"/>
                      <w:sz w:val="24"/>
                    </w:rPr>
                    <w:t>3</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Calibri" w:hAnsi="Calibri"/>
                      <w:szCs w:val="22"/>
                    </w:rPr>
                  </w:pPr>
                  <w:r>
                    <w:rPr>
                      <w:rFonts w:hint="eastAsia" w:ascii="宋体" w:hAnsi="宋体" w:cs="宋体"/>
                      <w:sz w:val="24"/>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18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4"/>
                      <w:szCs w:val="22"/>
                    </w:rPr>
                  </w:pPr>
                  <w:r>
                    <w:rPr>
                      <w:rFonts w:ascii="宋体" w:hAnsi="宋体" w:cs="宋体"/>
                      <w:sz w:val="24"/>
                    </w:rPr>
                    <w:t>4</w:t>
                  </w:r>
                </w:p>
              </w:tc>
              <w:tc>
                <w:tcPr>
                  <w:tcW w:w="710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 w:val="24"/>
                      <w:szCs w:val="22"/>
                    </w:rPr>
                  </w:pPr>
                  <w:r>
                    <w:rPr>
                      <w:rFonts w:hint="eastAsia" w:ascii="宋体" w:hAnsi="宋体" w:cs="宋体"/>
                      <w:sz w:val="24"/>
                    </w:rPr>
                    <w:t>本项目不接受联合体投标</w:t>
                  </w:r>
                </w:p>
              </w:tc>
            </w:tr>
          </w:tbl>
          <w:p>
            <w:pPr>
              <w:rPr>
                <w:rFonts w:ascii="Calibri" w:hAnsi="Calibri"/>
                <w:szCs w:val="22"/>
              </w:rPr>
            </w:pPr>
          </w:p>
        </w:tc>
      </w:tr>
    </w:tbl>
    <w:p>
      <w:pPr>
        <w:rPr>
          <w:rFonts w:ascii="宋体" w:hAnsi="宋体"/>
          <w:color w:val="000080"/>
          <w:sz w:val="24"/>
          <w:highlight w:val="white"/>
        </w:rPr>
      </w:pPr>
    </w:p>
    <w:p>
      <w:pPr>
        <w:pStyle w:val="3"/>
        <w:numPr>
          <w:ilvl w:val="0"/>
          <w:numId w:val="3"/>
        </w:numPr>
        <w:rPr>
          <w:lang w:val="en-GB"/>
        </w:rPr>
      </w:pPr>
      <w:r>
        <w:rPr>
          <w:rFonts w:hint="eastAsia"/>
          <w:lang w:val="en-GB"/>
        </w:rPr>
        <w:t>本项目的分值构成</w:t>
      </w:r>
    </w:p>
    <w:tbl>
      <w:tblPr>
        <w:tblStyle w:val="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评审部分</w:t>
            </w:r>
          </w:p>
        </w:tc>
        <w:tc>
          <w:tcPr>
            <w:tcW w:w="62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288" w:lineRule="auto"/>
              <w:ind w:firstLine="422"/>
              <w:jc w:val="center"/>
              <w:rPr>
                <w:rFonts w:ascii="宋体" w:hAnsi="宋体" w:cs="宋体"/>
                <w:b/>
                <w:szCs w:val="21"/>
              </w:rPr>
            </w:pPr>
            <w:r>
              <w:rPr>
                <w:rFonts w:hint="eastAsia"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商务部分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b/>
                <w:szCs w:val="21"/>
              </w:rPr>
            </w:pPr>
            <w:r>
              <w:rPr>
                <w:rFonts w:hint="eastAsia" w:cs="宋体"/>
                <w:b/>
              </w:rPr>
              <w:t>技术部分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lang w:val="en-US" w:eastAsia="zh-CN"/>
              </w:rPr>
              <w:t>4</w:t>
            </w:r>
            <w:r>
              <w:rPr>
                <w:rFonts w:hint="eastAsia"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2"/>
              <w:jc w:val="center"/>
              <w:rPr>
                <w:rFonts w:ascii="宋体" w:hAnsi="宋体" w:cs="宋体"/>
                <w:szCs w:val="21"/>
              </w:rPr>
            </w:pPr>
            <w:r>
              <w:rPr>
                <w:rFonts w:hint="eastAsia" w:cs="宋体"/>
                <w:b/>
              </w:rPr>
              <w:t>价格部分</w:t>
            </w:r>
          </w:p>
        </w:tc>
        <w:tc>
          <w:tcPr>
            <w:tcW w:w="6235"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jc w:val="center"/>
              <w:rPr>
                <w:rFonts w:ascii="宋体" w:hAnsi="宋体" w:cs="宋体"/>
                <w:szCs w:val="21"/>
              </w:rPr>
            </w:pPr>
            <w:r>
              <w:rPr>
                <w:rFonts w:hint="eastAsia" w:cs="宋体"/>
                <w:lang w:val="en-US" w:eastAsia="zh-CN"/>
              </w:rPr>
              <w:t>2</w:t>
            </w:r>
            <w:r>
              <w:rPr>
                <w:rFonts w:hint="eastAsia" w:cs="宋体"/>
              </w:rPr>
              <w:t>0</w:t>
            </w:r>
          </w:p>
        </w:tc>
      </w:tr>
    </w:tbl>
    <w:p>
      <w:pPr>
        <w:tabs>
          <w:tab w:val="left" w:pos="0"/>
          <w:tab w:val="left" w:pos="720"/>
          <w:tab w:val="left" w:pos="840"/>
          <w:tab w:val="left" w:pos="1080"/>
        </w:tabs>
        <w:spacing w:line="360" w:lineRule="auto"/>
        <w:rPr>
          <w:rFonts w:hint="eastAsia" w:ascii="黑体" w:hAnsi="黑体" w:eastAsia="黑体" w:cs="宋体"/>
          <w:b/>
          <w:bCs/>
          <w:kern w:val="44"/>
          <w:sz w:val="36"/>
          <w:szCs w:val="44"/>
          <w:lang w:val="en-US" w:eastAsia="zh-CN" w:bidi="ar-SA"/>
        </w:rPr>
      </w:pPr>
    </w:p>
    <w:p>
      <w:pPr>
        <w:tabs>
          <w:tab w:val="left" w:pos="0"/>
          <w:tab w:val="left" w:pos="720"/>
          <w:tab w:val="left" w:pos="840"/>
          <w:tab w:val="left" w:pos="1080"/>
        </w:tabs>
        <w:spacing w:line="360" w:lineRule="auto"/>
        <w:rPr>
          <w:rFonts w:hint="eastAsia" w:ascii="黑体" w:hAnsi="黑体" w:eastAsia="黑体" w:cs="宋体"/>
          <w:b/>
          <w:bCs/>
          <w:kern w:val="44"/>
          <w:sz w:val="36"/>
          <w:szCs w:val="44"/>
          <w:lang w:val="en-US" w:eastAsia="zh-CN" w:bidi="ar-SA"/>
        </w:rPr>
      </w:pPr>
    </w:p>
    <w:p>
      <w:pPr>
        <w:tabs>
          <w:tab w:val="left" w:pos="0"/>
          <w:tab w:val="left" w:pos="720"/>
          <w:tab w:val="left" w:pos="840"/>
          <w:tab w:val="left" w:pos="1080"/>
        </w:tabs>
        <w:spacing w:line="360" w:lineRule="auto"/>
        <w:rPr>
          <w:rFonts w:hint="eastAsia" w:ascii="黑体" w:hAnsi="黑体" w:eastAsia="黑体" w:cs="宋体"/>
          <w:b/>
          <w:bCs/>
          <w:kern w:val="44"/>
          <w:sz w:val="36"/>
          <w:szCs w:val="44"/>
          <w:lang w:val="en-US" w:eastAsia="zh-CN" w:bidi="ar-SA"/>
        </w:rPr>
      </w:pPr>
    </w:p>
    <w:p>
      <w:pPr>
        <w:tabs>
          <w:tab w:val="left" w:pos="0"/>
          <w:tab w:val="left" w:pos="720"/>
          <w:tab w:val="left" w:pos="840"/>
          <w:tab w:val="left" w:pos="1080"/>
        </w:tabs>
        <w:spacing w:line="360" w:lineRule="auto"/>
        <w:rPr>
          <w:rFonts w:hint="eastAsia" w:ascii="黑体" w:hAnsi="黑体" w:eastAsia="黑体" w:cs="宋体"/>
          <w:b/>
          <w:bCs/>
          <w:kern w:val="44"/>
          <w:sz w:val="36"/>
          <w:szCs w:val="44"/>
          <w:lang w:val="en-US" w:eastAsia="zh-CN" w:bidi="ar-SA"/>
        </w:rPr>
      </w:pPr>
    </w:p>
    <w:p>
      <w:pPr>
        <w:tabs>
          <w:tab w:val="left" w:pos="0"/>
          <w:tab w:val="left" w:pos="720"/>
          <w:tab w:val="left" w:pos="840"/>
          <w:tab w:val="left" w:pos="1080"/>
        </w:tabs>
        <w:spacing w:line="360" w:lineRule="auto"/>
        <w:rPr>
          <w:rFonts w:hint="eastAsia" w:ascii="黑体" w:hAnsi="黑体" w:eastAsia="黑体" w:cs="宋体"/>
          <w:b/>
          <w:bCs/>
          <w:kern w:val="44"/>
          <w:sz w:val="36"/>
          <w:szCs w:val="44"/>
          <w:lang w:val="en-US" w:eastAsia="zh-CN" w:bidi="ar-SA"/>
        </w:rPr>
      </w:pPr>
      <w:r>
        <w:rPr>
          <w:rFonts w:hint="eastAsia" w:ascii="黑体" w:hAnsi="黑体" w:eastAsia="黑体" w:cs="宋体"/>
          <w:b/>
          <w:bCs/>
          <w:kern w:val="44"/>
          <w:sz w:val="36"/>
          <w:szCs w:val="44"/>
          <w:lang w:val="en-US" w:eastAsia="zh-CN" w:bidi="ar-SA"/>
        </w:rPr>
        <w:t>三、商务评分（40分）</w:t>
      </w:r>
    </w:p>
    <w:p>
      <w:pPr>
        <w:tabs>
          <w:tab w:val="left" w:pos="1326"/>
        </w:tabs>
        <w:bidi w:val="0"/>
        <w:jc w:val="left"/>
        <w:rPr>
          <w:lang w:val="en-US" w:eastAsia="zh-CN"/>
        </w:rPr>
      </w:pPr>
    </w:p>
    <w:tbl>
      <w:tblPr>
        <w:tblStyle w:val="9"/>
        <w:tblpPr w:leftFromText="180" w:rightFromText="180" w:vertAnchor="text" w:horzAnchor="page" w:tblpX="1410" w:tblpY="60"/>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pPr>
            <w:r>
              <w:rPr>
                <w:rFonts w:hint="eastAsi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 w:val="24"/>
              </w:rPr>
            </w:pPr>
            <w:r>
              <w:rPr>
                <w:rFonts w:hint="eastAsia" w:cs="宋体"/>
                <w:b/>
                <w:sz w:val="24"/>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2"/>
              <w:jc w:val="center"/>
              <w:rPr>
                <w:rFonts w:ascii="宋体" w:hAnsi="宋体" w:cs="宋体"/>
                <w:b/>
                <w:sz w:val="24"/>
              </w:rPr>
            </w:pPr>
            <w:r>
              <w:rPr>
                <w:rFonts w:hint="eastAsia" w:cs="宋体"/>
                <w:b/>
                <w:sz w:val="24"/>
              </w:rPr>
              <w:t>评审细则</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b/>
                <w:sz w:val="24"/>
              </w:rPr>
            </w:pPr>
            <w:r>
              <w:rPr>
                <w:rFonts w:hint="eastAsia" w:cs="宋体"/>
                <w:b/>
                <w:sz w:val="24"/>
              </w:rPr>
              <w:t>分值</w:t>
            </w:r>
          </w:p>
          <w:p>
            <w:pPr>
              <w:widowControl/>
              <w:snapToGrid w:val="0"/>
              <w:spacing w:line="360" w:lineRule="auto"/>
              <w:jc w:val="center"/>
              <w:rPr>
                <w:rFonts w:ascii="宋体" w:hAnsi="宋体" w:cs="宋体"/>
                <w:b/>
                <w:sz w:val="24"/>
              </w:rPr>
            </w:pPr>
            <w:r>
              <w:rPr>
                <w:rFonts w:hint="eastAsia" w:cs="宋体"/>
                <w:b/>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hint="eastAsia" w:cs="宋体"/>
                <w:kern w:val="0"/>
                <w:sz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报名资料完整性</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lang w:val="en-GB"/>
              </w:rPr>
            </w:pPr>
            <w:r>
              <w:rPr>
                <w:rFonts w:hint="eastAsia" w:ascii="宋体" w:hAnsi="宋体" w:eastAsia="宋体" w:cs="宋体"/>
                <w:sz w:val="24"/>
              </w:rPr>
              <w:t>比选单位是否根据《大源街“十五五”规划编制服务项目公开比选报名提交资料一览表》提交相关材料。</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 w:val="24"/>
              </w:rPr>
            </w:pPr>
            <w:r>
              <w:rPr>
                <w:rFonts w:hint="eastAsia" w:cs="宋体"/>
                <w:kern w:val="0"/>
                <w:sz w:val="24"/>
              </w:rPr>
              <w:t>1</w:t>
            </w:r>
            <w:r>
              <w:rPr>
                <w:rFonts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24"/>
              </w:rPr>
            </w:pPr>
            <w:r>
              <w:rPr>
                <w:rFonts w:ascii="宋体" w:cs="宋体"/>
                <w:kern w:val="0"/>
                <w:sz w:val="24"/>
              </w:rPr>
              <w:t>2</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sz w:val="24"/>
              </w:rPr>
            </w:pPr>
            <w:r>
              <w:rPr>
                <w:rFonts w:hint="eastAsia" w:ascii="宋体" w:hAnsi="宋体" w:eastAsia="宋体" w:cs="宋体"/>
                <w:sz w:val="24"/>
              </w:rPr>
              <w:t>拟投入本项目人员情况</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1、拟投入本规划的项目负责人：（1）具有经济类高级职称得3分；（2）具有经济类专业的博士及以上学位证书得3分；本小项最高得6分。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2、拟投入本规划的人员（除项目负责人外）配备经济类硕士及以上学位证书，每提供一个得2分，最高得4分。</w:t>
            </w:r>
          </w:p>
          <w:p>
            <w:pPr>
              <w:pStyle w:val="2"/>
              <w:rPr>
                <w:lang w:val="en-GB"/>
              </w:rPr>
            </w:pPr>
            <w:r>
              <w:rPr>
                <w:rFonts w:hint="eastAsia" w:cs="宋体"/>
                <w:sz w:val="24"/>
              </w:rPr>
              <w:t>【注：</w:t>
            </w:r>
            <w:r>
              <w:rPr>
                <w:rFonts w:hint="eastAsia" w:cs="宋体"/>
                <w:sz w:val="24"/>
                <w:lang w:val="en-US" w:eastAsia="zh-CN"/>
              </w:rPr>
              <w:t>须提供相关证明材料</w:t>
            </w:r>
            <w:r>
              <w:rPr>
                <w:rFonts w:hint="eastAsia" w:cs="宋体"/>
                <w:sz w:val="24"/>
              </w:rPr>
              <w:t>复印件加盖投标人公章，不提供上述资料的不得分。】</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sz w:val="24"/>
                <w:lang w:val="en-US" w:eastAsia="zh-CN"/>
              </w:rPr>
            </w:pPr>
            <w:r>
              <w:rPr>
                <w:rFonts w:hint="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cs="宋体"/>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cs="宋体"/>
                <w:sz w:val="24"/>
                <w:lang w:val="en-GB"/>
              </w:rPr>
              <w:t>项目业绩</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sz w:val="24"/>
              </w:rPr>
            </w:pPr>
            <w:r>
              <w:rPr>
                <w:rFonts w:hint="eastAsia" w:cs="宋体"/>
                <w:sz w:val="24"/>
              </w:rPr>
              <w:t>2020年1月1日至今，投标人独立完成政府经济类决策咨询项目，每项得</w:t>
            </w:r>
            <w:r>
              <w:rPr>
                <w:rFonts w:hint="eastAsia" w:cs="宋体"/>
                <w:sz w:val="24"/>
                <w:lang w:val="en-US" w:eastAsia="zh-CN"/>
              </w:rPr>
              <w:t>2</w:t>
            </w:r>
            <w:r>
              <w:rPr>
                <w:rFonts w:hint="eastAsia" w:cs="宋体"/>
                <w:sz w:val="24"/>
              </w:rPr>
              <w:t>分。本项最高得</w:t>
            </w:r>
            <w:r>
              <w:rPr>
                <w:rFonts w:hint="eastAsia" w:cs="宋体"/>
                <w:sz w:val="24"/>
                <w:lang w:val="en-US" w:eastAsia="zh-CN"/>
              </w:rPr>
              <w:t>20</w:t>
            </w:r>
            <w:r>
              <w:rPr>
                <w:rFonts w:hint="eastAsia" w:cs="宋体"/>
                <w:sz w:val="24"/>
              </w:rPr>
              <w:t>分。</w:t>
            </w:r>
          </w:p>
          <w:p>
            <w:pPr>
              <w:pStyle w:val="2"/>
              <w:rPr>
                <w:rFonts w:cs="宋体"/>
                <w:sz w:val="24"/>
              </w:rPr>
            </w:pPr>
            <w:r>
              <w:rPr>
                <w:rFonts w:hint="eastAsia" w:cs="宋体"/>
                <w:sz w:val="24"/>
              </w:rPr>
              <w:t>【注：投标人须提供合同关键页（须包括</w:t>
            </w:r>
            <w:r>
              <w:rPr>
                <w:rFonts w:hint="eastAsia" w:cs="宋体"/>
                <w:sz w:val="24"/>
                <w:lang w:eastAsia="zh-Hans"/>
              </w:rPr>
              <w:t>合同</w:t>
            </w:r>
            <w:r>
              <w:rPr>
                <w:rFonts w:hint="eastAsia" w:cs="宋体"/>
                <w:sz w:val="24"/>
              </w:rPr>
              <w:t>内容、签约日期、双方盖章等内容）复印件加盖投标人公章，不提供上述资料的不得分。】</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eastAsiaTheme="minorEastAsia"/>
                <w:sz w:val="24"/>
                <w:lang w:val="en-US" w:eastAsia="zh-CN"/>
              </w:rPr>
            </w:pPr>
            <w:r>
              <w:rPr>
                <w:rFonts w:hint="eastAsia" w:cs="宋体"/>
                <w:sz w:val="24"/>
                <w:lang w:val="en-US" w:eastAsia="zh-CN"/>
              </w:rPr>
              <w:t>20</w:t>
            </w:r>
          </w:p>
        </w:tc>
      </w:tr>
    </w:tbl>
    <w:p>
      <w:pPr>
        <w:pStyle w:val="3"/>
        <w:pageBreakBefore/>
        <w:numPr>
          <w:ilvl w:val="0"/>
          <w:numId w:val="0"/>
        </w:numPr>
        <w:ind w:leftChars="0"/>
      </w:pPr>
      <w:r>
        <w:rPr>
          <w:rFonts w:hint="eastAsia"/>
          <w:lang w:val="en-US" w:eastAsia="zh-CN"/>
        </w:rPr>
        <w:t>四、</w:t>
      </w:r>
      <w:r>
        <w:rPr>
          <w:rFonts w:hint="eastAsia"/>
        </w:rPr>
        <w:t>技术评分（40分）</w:t>
      </w:r>
    </w:p>
    <w:p>
      <w:pPr>
        <w:pStyle w:val="2"/>
        <w:ind w:firstLine="480" w:firstLineChars="200"/>
      </w:pPr>
      <w:r>
        <w:rPr>
          <w:rFonts w:hint="eastAsia" w:hAnsi="宋体"/>
          <w:sz w:val="24"/>
          <w:highlight w:val="white"/>
        </w:rPr>
        <w:t>由</w:t>
      </w:r>
      <w:r>
        <w:rPr>
          <w:rFonts w:hint="eastAsia"/>
          <w:sz w:val="24"/>
          <w:highlight w:val="white"/>
        </w:rPr>
        <w:t>评标委员会成员</w:t>
      </w:r>
      <w:r>
        <w:rPr>
          <w:rFonts w:hint="eastAsia" w:hAnsi="宋体"/>
          <w:sz w:val="24"/>
          <w:highlight w:val="white"/>
        </w:rPr>
        <w:t>对所有有效投标文件的技术和服务响应方案进行审核和分析，填写《技术评分表》，如下：</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940"/>
        <w:gridCol w:w="623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szCs w:val="21"/>
              </w:rPr>
            </w:pPr>
            <w:r>
              <w:rPr>
                <w:rFonts w:hint="eastAsia" w:cs="宋体"/>
                <w:b/>
              </w:rPr>
              <w:t>评审项目</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2"/>
              <w:jc w:val="center"/>
              <w:rPr>
                <w:rFonts w:ascii="宋体" w:hAnsi="宋体" w:cs="宋体"/>
                <w:b/>
                <w:szCs w:val="21"/>
              </w:rPr>
            </w:pPr>
            <w:r>
              <w:rPr>
                <w:rFonts w:hint="eastAsia" w:cs="宋体"/>
                <w:b/>
              </w:rPr>
              <w:t>评审细则</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b/>
              </w:rPr>
            </w:pPr>
            <w:r>
              <w:rPr>
                <w:rFonts w:hint="eastAsia" w:cs="宋体"/>
                <w:b/>
              </w:rPr>
              <w:t>分值</w:t>
            </w:r>
          </w:p>
          <w:p>
            <w:pPr>
              <w:widowControl/>
              <w:snapToGrid w:val="0"/>
              <w:spacing w:line="360" w:lineRule="auto"/>
              <w:jc w:val="center"/>
              <w:rPr>
                <w:rFonts w:ascii="宋体" w:hAnsi="宋体" w:cs="宋体"/>
                <w:b/>
                <w:szCs w:val="21"/>
              </w:rPr>
            </w:pPr>
            <w:r>
              <w:rPr>
                <w:rFonts w:hint="eastAsia" w:cs="宋体"/>
                <w:b/>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rPr>
            </w:pPr>
            <w:r>
              <w:rPr>
                <w:rFonts w:hint="eastAsia" w:cs="宋体"/>
                <w:kern w:val="0"/>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r>
              <w:rPr>
                <w:rFonts w:ascii="宋体" w:hAnsi="宋体" w:cs="宋体"/>
                <w:sz w:val="24"/>
                <w:szCs w:val="22"/>
              </w:rPr>
              <w:t>项目服务方案</w:t>
            </w:r>
          </w:p>
        </w:tc>
        <w:tc>
          <w:tcPr>
            <w:tcW w:w="6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1、被评定为优</w:t>
            </w:r>
            <w:r>
              <w:rPr>
                <w:rFonts w:hint="eastAsia" w:ascii="宋体" w:hAnsi="宋体" w:cs="宋体"/>
                <w:sz w:val="24"/>
                <w:lang w:eastAsia="zh-CN"/>
              </w:rPr>
              <w:t>（</w:t>
            </w:r>
            <w:r>
              <w:rPr>
                <w:rFonts w:ascii="宋体" w:hAnsi="宋体" w:cs="宋体"/>
                <w:sz w:val="24"/>
                <w:szCs w:val="22"/>
              </w:rPr>
              <w:t>方案</w:t>
            </w:r>
            <w:r>
              <w:rPr>
                <w:rFonts w:hint="eastAsia" w:ascii="宋体" w:hAnsi="宋体" w:cs="宋体"/>
                <w:sz w:val="24"/>
              </w:rPr>
              <w:t>完整，合理可行、详细有力，有深入表述</w:t>
            </w:r>
            <w:r>
              <w:rPr>
                <w:rFonts w:hint="eastAsia" w:ascii="宋体" w:hAnsi="宋体" w:cs="宋体"/>
                <w:sz w:val="24"/>
                <w:lang w:eastAsia="zh-CN"/>
              </w:rPr>
              <w:t>）</w:t>
            </w:r>
            <w:r>
              <w:rPr>
                <w:rFonts w:hint="eastAsia" w:ascii="宋体" w:hAnsi="宋体" w:cs="宋体"/>
                <w:sz w:val="24"/>
              </w:rPr>
              <w:t>得20分；</w:t>
            </w:r>
          </w:p>
          <w:p>
            <w:pPr>
              <w:rPr>
                <w:rFonts w:hint="eastAsia" w:ascii="宋体" w:hAnsi="宋体" w:cs="宋体"/>
                <w:sz w:val="24"/>
              </w:rPr>
            </w:pPr>
            <w:r>
              <w:rPr>
                <w:rFonts w:hint="eastAsia" w:ascii="宋体" w:hAnsi="宋体" w:cs="宋体"/>
                <w:sz w:val="24"/>
              </w:rPr>
              <w:t>2、被评定为</w:t>
            </w:r>
            <w:r>
              <w:rPr>
                <w:rFonts w:hint="eastAsia" w:ascii="宋体" w:hAnsi="宋体" w:cs="宋体"/>
                <w:sz w:val="24"/>
                <w:lang w:val="en-US" w:eastAsia="zh-CN"/>
              </w:rPr>
              <w:t>中</w:t>
            </w:r>
            <w:r>
              <w:rPr>
                <w:rFonts w:hint="eastAsia" w:ascii="宋体" w:hAnsi="宋体" w:cs="宋体"/>
                <w:sz w:val="24"/>
                <w:lang w:eastAsia="zh-CN"/>
              </w:rPr>
              <w:t>（</w:t>
            </w:r>
            <w:r>
              <w:rPr>
                <w:rFonts w:ascii="宋体" w:hAnsi="宋体" w:cs="宋体"/>
                <w:sz w:val="24"/>
                <w:szCs w:val="22"/>
              </w:rPr>
              <w:t>方案</w:t>
            </w:r>
            <w:r>
              <w:rPr>
                <w:rFonts w:hint="eastAsia" w:ascii="宋体" w:hAnsi="宋体" w:cs="宋体"/>
                <w:sz w:val="24"/>
              </w:rPr>
              <w:t>内容基本完整，对项目关键技术内容表述完整</w:t>
            </w:r>
            <w:r>
              <w:rPr>
                <w:rFonts w:hint="eastAsia" w:ascii="宋体" w:hAnsi="宋体" w:cs="宋体"/>
                <w:sz w:val="24"/>
                <w:lang w:eastAsia="zh-CN"/>
              </w:rPr>
              <w:t>）</w:t>
            </w:r>
            <w:r>
              <w:rPr>
                <w:rFonts w:hint="eastAsia" w:ascii="宋体" w:hAnsi="宋体" w:cs="宋体"/>
                <w:sz w:val="24"/>
              </w:rPr>
              <w:t>得14分；</w:t>
            </w:r>
          </w:p>
          <w:p>
            <w:pPr>
              <w:rPr>
                <w:rFonts w:hint="eastAsia" w:ascii="宋体" w:hAnsi="宋体" w:cs="宋体"/>
                <w:sz w:val="24"/>
              </w:rPr>
            </w:pPr>
            <w:r>
              <w:rPr>
                <w:rFonts w:hint="eastAsia" w:ascii="宋体" w:hAnsi="宋体" w:cs="宋体"/>
                <w:sz w:val="24"/>
              </w:rPr>
              <w:t>3、被评定为</w:t>
            </w:r>
            <w:r>
              <w:rPr>
                <w:rFonts w:hint="eastAsia" w:ascii="宋体" w:hAnsi="宋体" w:cs="宋体"/>
                <w:sz w:val="24"/>
                <w:lang w:val="en-US" w:eastAsia="zh-CN"/>
              </w:rPr>
              <w:t>差</w:t>
            </w:r>
            <w:r>
              <w:rPr>
                <w:rFonts w:hint="eastAsia" w:ascii="宋体" w:hAnsi="宋体" w:cs="宋体"/>
                <w:sz w:val="24"/>
                <w:lang w:eastAsia="zh-CN"/>
              </w:rPr>
              <w:t>（</w:t>
            </w:r>
            <w:r>
              <w:rPr>
                <w:rFonts w:ascii="宋体" w:hAnsi="宋体" w:cs="宋体"/>
                <w:sz w:val="24"/>
                <w:szCs w:val="22"/>
              </w:rPr>
              <w:t>方案</w:t>
            </w:r>
            <w:r>
              <w:rPr>
                <w:rFonts w:hint="eastAsia" w:ascii="宋体" w:hAnsi="宋体" w:cs="宋体"/>
                <w:sz w:val="24"/>
              </w:rPr>
              <w:t>内容有缺漏、不够详细，表述较差</w:t>
            </w:r>
            <w:r>
              <w:rPr>
                <w:rFonts w:hint="eastAsia" w:ascii="宋体" w:hAnsi="宋体" w:cs="宋体"/>
                <w:sz w:val="24"/>
                <w:lang w:eastAsia="zh-CN"/>
              </w:rPr>
              <w:t>）</w:t>
            </w:r>
            <w:r>
              <w:rPr>
                <w:rFonts w:hint="eastAsia" w:ascii="宋体" w:hAnsi="宋体" w:cs="宋体"/>
                <w:sz w:val="24"/>
              </w:rPr>
              <w:t>得8分；</w:t>
            </w:r>
          </w:p>
          <w:p>
            <w:pPr>
              <w:rPr>
                <w:rFonts w:ascii="宋体" w:hAnsi="宋体" w:cs="宋体"/>
                <w:sz w:val="24"/>
                <w:szCs w:val="22"/>
              </w:rPr>
            </w:pPr>
            <w:r>
              <w:rPr>
                <w:rFonts w:hint="eastAsia" w:ascii="宋体" w:hAnsi="宋体" w:cs="宋体"/>
                <w:sz w:val="24"/>
              </w:rPr>
              <w:t>4、没有提供实施方案得分为0。</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rPr>
            </w:pPr>
            <w:r>
              <w:rPr>
                <w:rFonts w:ascii="宋体" w:cs="宋体"/>
                <w:kern w:val="0"/>
              </w:rPr>
              <w:t>2</w:t>
            </w:r>
          </w:p>
        </w:tc>
        <w:tc>
          <w:tcPr>
            <w:tcW w:w="19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对规划的理解及重点、难点分析</w:t>
            </w:r>
          </w:p>
        </w:tc>
        <w:tc>
          <w:tcPr>
            <w:tcW w:w="6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rPr>
            </w:pPr>
            <w:r>
              <w:rPr>
                <w:rFonts w:hint="eastAsia" w:ascii="宋体" w:hAnsi="宋体" w:cs="宋体"/>
                <w:sz w:val="24"/>
              </w:rPr>
              <w:t>1、被评定为优</w:t>
            </w:r>
            <w:r>
              <w:rPr>
                <w:rFonts w:hint="eastAsia" w:ascii="宋体" w:hAnsi="宋体" w:cs="宋体"/>
                <w:sz w:val="24"/>
                <w:lang w:eastAsia="zh-CN"/>
              </w:rPr>
              <w:t>（</w:t>
            </w:r>
            <w:r>
              <w:rPr>
                <w:rFonts w:hint="eastAsia" w:ascii="宋体" w:hAnsi="宋体" w:cs="宋体"/>
                <w:sz w:val="24"/>
              </w:rPr>
              <w:t>对本规划的理解程度、重点难点分析及下阶段主要任务应注意的事项有深刻认识，表述清晰、完整</w:t>
            </w:r>
            <w:r>
              <w:rPr>
                <w:rFonts w:hint="eastAsia" w:ascii="宋体" w:hAnsi="宋体" w:cs="宋体"/>
                <w:sz w:val="24"/>
                <w:lang w:eastAsia="zh-CN"/>
              </w:rPr>
              <w:t>）</w:t>
            </w:r>
            <w:r>
              <w:rPr>
                <w:rFonts w:hint="eastAsia" w:ascii="宋体" w:hAnsi="宋体" w:cs="宋体"/>
                <w:sz w:val="24"/>
              </w:rPr>
              <w:t>得1</w:t>
            </w:r>
            <w:r>
              <w:rPr>
                <w:rFonts w:hint="eastAsia" w:ascii="宋体" w:hAnsi="宋体" w:cs="宋体"/>
                <w:sz w:val="24"/>
                <w:lang w:val="en-US" w:eastAsia="zh-CN"/>
              </w:rPr>
              <w:t>0</w:t>
            </w:r>
            <w:r>
              <w:rPr>
                <w:rFonts w:hint="eastAsia" w:ascii="宋体" w:hAnsi="宋体" w:cs="宋体"/>
                <w:sz w:val="24"/>
              </w:rPr>
              <w:t xml:space="preserve">分； </w:t>
            </w:r>
          </w:p>
          <w:p>
            <w:pPr>
              <w:rPr>
                <w:rFonts w:hint="eastAsia" w:ascii="宋体" w:hAnsi="宋体" w:cs="宋体"/>
                <w:sz w:val="24"/>
              </w:rPr>
            </w:pPr>
            <w:r>
              <w:rPr>
                <w:rFonts w:hint="eastAsia" w:ascii="宋体" w:hAnsi="宋体" w:cs="宋体"/>
                <w:sz w:val="24"/>
              </w:rPr>
              <w:t>2、被评定为</w:t>
            </w:r>
            <w:r>
              <w:rPr>
                <w:rFonts w:hint="eastAsia" w:ascii="宋体" w:hAnsi="宋体" w:cs="宋体"/>
                <w:sz w:val="24"/>
                <w:lang w:val="en-US" w:eastAsia="zh-CN"/>
              </w:rPr>
              <w:t>中</w:t>
            </w:r>
            <w:r>
              <w:rPr>
                <w:rFonts w:hint="eastAsia" w:ascii="宋体" w:hAnsi="宋体" w:cs="宋体"/>
                <w:sz w:val="24"/>
                <w:lang w:eastAsia="zh-CN"/>
              </w:rPr>
              <w:t>（</w:t>
            </w:r>
            <w:r>
              <w:rPr>
                <w:rFonts w:hint="eastAsia" w:ascii="宋体" w:hAnsi="宋体" w:cs="宋体"/>
                <w:sz w:val="24"/>
              </w:rPr>
              <w:t>对本规划的理解程度、重点难点分析及下阶段主要任务应注意的事项有一定认识，表述基本完整</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5</w:t>
            </w:r>
            <w:r>
              <w:rPr>
                <w:rFonts w:hint="eastAsia" w:ascii="宋体" w:hAnsi="宋体" w:cs="宋体"/>
                <w:sz w:val="24"/>
              </w:rPr>
              <w:t>分；</w:t>
            </w:r>
          </w:p>
          <w:p>
            <w:pPr>
              <w:rPr>
                <w:rFonts w:hint="eastAsia" w:ascii="宋体" w:hAnsi="宋体" w:cs="宋体"/>
                <w:sz w:val="24"/>
              </w:rPr>
            </w:pPr>
            <w:r>
              <w:rPr>
                <w:rFonts w:hint="eastAsia" w:ascii="宋体" w:hAnsi="宋体" w:cs="宋体"/>
                <w:sz w:val="24"/>
              </w:rPr>
              <w:t>3、被评定为</w:t>
            </w:r>
            <w:r>
              <w:rPr>
                <w:rFonts w:hint="eastAsia" w:ascii="宋体" w:hAnsi="宋体" w:cs="宋体"/>
                <w:sz w:val="24"/>
                <w:lang w:val="en-US" w:eastAsia="zh-CN"/>
              </w:rPr>
              <w:t>差</w:t>
            </w:r>
            <w:r>
              <w:rPr>
                <w:rFonts w:hint="eastAsia" w:ascii="宋体" w:hAnsi="宋体" w:cs="宋体"/>
                <w:sz w:val="24"/>
                <w:lang w:eastAsia="zh-CN"/>
              </w:rPr>
              <w:t>（</w:t>
            </w:r>
            <w:r>
              <w:rPr>
                <w:rFonts w:hint="eastAsia" w:ascii="宋体" w:hAnsi="宋体" w:cs="宋体"/>
                <w:sz w:val="24"/>
              </w:rPr>
              <w:t>对本规划的理解程度、重点难点分析及下阶段主要任务应注意的事项认识不足，表述模糊</w:t>
            </w:r>
            <w:r>
              <w:rPr>
                <w:rFonts w:hint="eastAsia" w:ascii="宋体" w:hAnsi="宋体" w:cs="宋体"/>
                <w:sz w:val="24"/>
                <w:lang w:eastAsia="zh-CN"/>
              </w:rPr>
              <w:t>）</w:t>
            </w:r>
            <w:r>
              <w:rPr>
                <w:rFonts w:hint="eastAsia" w:ascii="宋体" w:hAnsi="宋体" w:cs="宋体"/>
                <w:sz w:val="24"/>
              </w:rPr>
              <w:t>得</w:t>
            </w:r>
            <w:r>
              <w:rPr>
                <w:rFonts w:hint="eastAsia" w:ascii="宋体" w:hAnsi="宋体" w:cs="宋体"/>
                <w:sz w:val="24"/>
                <w:lang w:val="en-US" w:eastAsia="zh-CN"/>
              </w:rPr>
              <w:t>2</w:t>
            </w:r>
            <w:r>
              <w:rPr>
                <w:rFonts w:hint="eastAsia" w:ascii="宋体" w:hAnsi="宋体" w:cs="宋体"/>
                <w:sz w:val="24"/>
              </w:rPr>
              <w:t>分；</w:t>
            </w:r>
          </w:p>
          <w:p>
            <w:pPr>
              <w:rPr>
                <w:rFonts w:hint="eastAsia" w:ascii="宋体" w:hAnsi="宋体" w:cs="宋体"/>
                <w:sz w:val="24"/>
              </w:rPr>
            </w:pPr>
            <w:r>
              <w:rPr>
                <w:rFonts w:hint="eastAsia" w:ascii="宋体" w:hAnsi="宋体" w:cs="宋体"/>
                <w:sz w:val="24"/>
              </w:rPr>
              <w:t>4、未提供得</w:t>
            </w:r>
            <w:r>
              <w:rPr>
                <w:rFonts w:hint="eastAsia" w:ascii="宋体" w:hAnsi="宋体" w:cs="宋体"/>
                <w:sz w:val="24"/>
                <w:lang w:val="en-US" w:eastAsia="zh-CN"/>
              </w:rPr>
              <w:t>0</w:t>
            </w:r>
            <w:r>
              <w:rPr>
                <w:rFonts w:hint="eastAsia" w:ascii="宋体" w:hAnsi="宋体" w:cs="宋体"/>
                <w:sz w:val="24"/>
              </w:rPr>
              <w:t>分。</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sz w:val="24"/>
                <w:lang w:val="en-US" w:eastAsia="zh-CN"/>
              </w:rPr>
            </w:pPr>
            <w:r>
              <w:rPr>
                <w:rFonts w:hint="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sz w:val="24"/>
              </w:rPr>
              <w:t>后期服务措施及保证措施</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sz w:val="24"/>
              </w:rPr>
            </w:pPr>
            <w:r>
              <w:rPr>
                <w:rFonts w:hint="eastAsia" w:ascii="宋体" w:hAnsi="宋体" w:eastAsia="宋体"/>
                <w:sz w:val="24"/>
              </w:rPr>
              <w:t>1、后期服务措施及保证措施内容完善、及时的得1</w:t>
            </w:r>
            <w:r>
              <w:rPr>
                <w:rFonts w:hint="eastAsia" w:ascii="宋体" w:hAnsi="宋体" w:eastAsia="宋体"/>
                <w:sz w:val="24"/>
                <w:lang w:val="en-US" w:eastAsia="zh-CN"/>
              </w:rPr>
              <w:t>0</w:t>
            </w:r>
            <w:r>
              <w:rPr>
                <w:rFonts w:hint="eastAsia" w:ascii="宋体" w:hAnsi="宋体" w:eastAsia="宋体"/>
                <w:sz w:val="24"/>
              </w:rPr>
              <w:t>分；</w:t>
            </w:r>
          </w:p>
          <w:p>
            <w:pPr>
              <w:spacing w:line="276" w:lineRule="auto"/>
              <w:rPr>
                <w:rFonts w:hint="eastAsia" w:ascii="宋体" w:hAnsi="宋体" w:eastAsia="宋体"/>
                <w:sz w:val="24"/>
              </w:rPr>
            </w:pPr>
            <w:r>
              <w:rPr>
                <w:rFonts w:hint="eastAsia" w:ascii="宋体" w:hAnsi="宋体" w:eastAsia="宋体"/>
                <w:sz w:val="24"/>
              </w:rPr>
              <w:t>2、后期服务措施及保证措施内容基本完整得</w:t>
            </w:r>
            <w:r>
              <w:rPr>
                <w:rFonts w:hint="eastAsia" w:ascii="宋体" w:hAnsi="宋体" w:eastAsia="宋体"/>
                <w:sz w:val="24"/>
                <w:lang w:val="en-US" w:eastAsia="zh-CN"/>
              </w:rPr>
              <w:t>5</w:t>
            </w:r>
            <w:r>
              <w:rPr>
                <w:rFonts w:hint="eastAsia" w:ascii="宋体" w:hAnsi="宋体" w:eastAsia="宋体"/>
                <w:sz w:val="24"/>
              </w:rPr>
              <w:t>分；</w:t>
            </w:r>
          </w:p>
          <w:p>
            <w:pPr>
              <w:spacing w:line="276" w:lineRule="auto"/>
              <w:rPr>
                <w:rFonts w:hint="eastAsia" w:ascii="宋体" w:hAnsi="宋体" w:eastAsia="宋体"/>
                <w:sz w:val="24"/>
              </w:rPr>
            </w:pPr>
            <w:r>
              <w:rPr>
                <w:rFonts w:hint="eastAsia" w:ascii="宋体" w:hAnsi="宋体" w:eastAsia="宋体"/>
                <w:sz w:val="24"/>
              </w:rPr>
              <w:t>3、后期服务措施及保证措施有缺漏、不全面，内容较差的得</w:t>
            </w:r>
            <w:r>
              <w:rPr>
                <w:rFonts w:hint="eastAsia" w:ascii="宋体" w:hAnsi="宋体" w:eastAsia="宋体"/>
                <w:sz w:val="24"/>
                <w:lang w:val="en-US" w:eastAsia="zh-CN"/>
              </w:rPr>
              <w:t>2</w:t>
            </w:r>
            <w:r>
              <w:rPr>
                <w:rFonts w:hint="eastAsia" w:ascii="宋体" w:hAnsi="宋体" w:eastAsia="宋体"/>
                <w:sz w:val="24"/>
              </w:rPr>
              <w:t>分；</w:t>
            </w:r>
          </w:p>
          <w:p>
            <w:pPr>
              <w:spacing w:line="276" w:lineRule="auto"/>
              <w:rPr>
                <w:rFonts w:ascii="宋体" w:hAnsi="宋体" w:eastAsia="宋体"/>
                <w:sz w:val="24"/>
              </w:rPr>
            </w:pPr>
            <w:r>
              <w:rPr>
                <w:rFonts w:hint="eastAsia" w:ascii="宋体" w:hAnsi="宋体" w:eastAsia="宋体"/>
                <w:sz w:val="24"/>
              </w:rPr>
              <w:t>4、未提供得</w:t>
            </w:r>
            <w:r>
              <w:rPr>
                <w:rFonts w:hint="eastAsia" w:ascii="宋体" w:hAnsi="宋体" w:eastAsia="宋体"/>
                <w:sz w:val="24"/>
                <w:lang w:val="en-US" w:eastAsia="zh-CN"/>
              </w:rPr>
              <w:t>0</w:t>
            </w:r>
            <w:r>
              <w:rPr>
                <w:rFonts w:hint="eastAsia" w:ascii="宋体" w:hAnsi="宋体" w:eastAsia="宋体"/>
                <w:sz w:val="24"/>
              </w:rPr>
              <w:t>分。</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10</w:t>
            </w:r>
          </w:p>
        </w:tc>
      </w:tr>
    </w:tbl>
    <w:p/>
    <w:p>
      <w:pPr>
        <w:pStyle w:val="3"/>
        <w:numPr>
          <w:ilvl w:val="0"/>
          <w:numId w:val="0"/>
        </w:numPr>
        <w:ind w:leftChars="0"/>
      </w:pPr>
      <w:r>
        <w:rPr>
          <w:rFonts w:hint="eastAsia"/>
          <w:lang w:val="en-US" w:eastAsia="zh-CN"/>
        </w:rPr>
        <w:t>五、</w:t>
      </w:r>
      <w:r>
        <w:rPr>
          <w:rFonts w:hint="eastAsia"/>
        </w:rPr>
        <w:t>价格评分</w:t>
      </w:r>
      <w:r>
        <w:rPr>
          <w:rFonts w:hint="eastAsia" w:ascii="宋体" w:hAnsi="宋体"/>
          <w:b w:val="0"/>
          <w:bCs w:val="0"/>
          <w:lang w:val="en-GB"/>
        </w:rPr>
        <w:t>（</w:t>
      </w:r>
      <w:r>
        <w:rPr>
          <w:rFonts w:hint="eastAsia" w:ascii="宋体" w:hAnsi="宋体"/>
          <w:b w:val="0"/>
          <w:bCs w:val="0"/>
        </w:rPr>
        <w:t>20分</w:t>
      </w:r>
      <w:r>
        <w:rPr>
          <w:rFonts w:hint="eastAsia" w:ascii="宋体" w:hAnsi="宋体"/>
          <w:b w:val="0"/>
          <w:bCs w:val="0"/>
          <w:lang w:val="en-GB"/>
        </w:rPr>
        <w:t>）</w:t>
      </w:r>
    </w:p>
    <w:p>
      <w:pPr>
        <w:rPr>
          <w:rFonts w:cs="宋体"/>
          <w:color w:val="000000"/>
        </w:rPr>
      </w:pPr>
      <w:r>
        <w:rPr>
          <w:rFonts w:hint="eastAsia" w:cs="宋体"/>
          <w:color w:val="000000"/>
        </w:rPr>
        <w:t>平均价评分。询价小组以投标文件为依据，对其进行评审，在全部满足内容和条件的前提下，按所报总价由低到高排列顺序，确定平均价，取平均价为评标基准价，越偏离平均价，分值越低。投标人的价格分统一按照下列公式计算：</w:t>
      </w:r>
    </w:p>
    <w:p>
      <w:pPr>
        <w:rPr>
          <w:rFonts w:cs="宋体"/>
          <w:color w:val="000000"/>
        </w:rPr>
      </w:pPr>
    </w:p>
    <w:p>
      <w:pPr>
        <w:rPr>
          <w:rFonts w:cs="宋体"/>
          <w:color w:val="000000"/>
        </w:rPr>
      </w:pPr>
      <w:r>
        <w:rPr>
          <w:rFonts w:hint="eastAsia" w:cs="宋体"/>
          <w:color w:val="000000"/>
        </w:rPr>
        <w:t>偏离参数= [（评标基准价／评标价）-1]的绝对值</w:t>
      </w:r>
    </w:p>
    <w:p>
      <w:pPr>
        <w:rPr>
          <w:rFonts w:cs="宋体"/>
          <w:color w:val="000000"/>
        </w:rPr>
      </w:pPr>
      <w:r>
        <w:rPr>
          <w:rFonts w:hint="eastAsia" w:cs="宋体"/>
          <w:color w:val="000000"/>
        </w:rPr>
        <w:t>价格评分=(1-偏离参数)×20分</w:t>
      </w:r>
    </w:p>
    <w:p>
      <w:pPr>
        <w:rPr>
          <w:rFonts w:cs="宋体"/>
          <w:b/>
          <w:bCs/>
          <w:color w:val="000000"/>
          <w:sz w:val="28"/>
          <w:szCs w:val="28"/>
        </w:rPr>
      </w:pPr>
    </w:p>
    <w:p>
      <w:pPr>
        <w:spacing w:line="244" w:lineRule="auto"/>
        <w:ind w:right="123"/>
        <w:jc w:val="right"/>
        <w:rPr>
          <w:rFonts w:ascii="宋体" w:hAnsi="宋体" w:cs="宋体"/>
          <w:color w:val="000000"/>
          <w:kern w:val="0"/>
          <w:sz w:val="24"/>
          <w:szCs w:val="22"/>
        </w:rPr>
      </w:pPr>
      <w:r>
        <w:rPr>
          <w:rFonts w:hint="eastAsia" w:ascii="宋体" w:hAnsi="宋体" w:cs="宋体"/>
          <w:color w:val="000000"/>
          <w:kern w:val="0"/>
          <w:sz w:val="24"/>
          <w:szCs w:val="22"/>
        </w:rPr>
        <w:t>广州市白云区人民政府大源街道办事处</w:t>
      </w:r>
    </w:p>
    <w:p>
      <w:pPr>
        <w:spacing w:line="244" w:lineRule="auto"/>
        <w:ind w:right="123"/>
        <w:jc w:val="right"/>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202</w:t>
      </w:r>
      <w:r>
        <w:rPr>
          <w:rFonts w:hint="eastAsia" w:ascii="宋体" w:hAnsi="宋体" w:cs="宋体"/>
          <w:color w:val="000000"/>
          <w:kern w:val="0"/>
          <w:sz w:val="24"/>
          <w:szCs w:val="22"/>
          <w:highlight w:val="none"/>
          <w:lang w:val="en-US" w:eastAsia="zh-CN"/>
        </w:rPr>
        <w:t>5</w:t>
      </w:r>
      <w:r>
        <w:rPr>
          <w:rFonts w:hint="eastAsia" w:ascii="宋体" w:hAnsi="宋体" w:cs="宋体"/>
          <w:color w:val="000000"/>
          <w:kern w:val="0"/>
          <w:sz w:val="24"/>
          <w:szCs w:val="22"/>
          <w:highlight w:val="none"/>
        </w:rPr>
        <w:t>年4月</w:t>
      </w:r>
      <w:r>
        <w:rPr>
          <w:rFonts w:hint="eastAsia" w:ascii="宋体" w:hAnsi="宋体" w:cs="宋体"/>
          <w:color w:val="000000"/>
          <w:kern w:val="0"/>
          <w:sz w:val="24"/>
          <w:szCs w:val="22"/>
          <w:highlight w:val="none"/>
          <w:lang w:val="en-US" w:eastAsia="zh-CN"/>
        </w:rPr>
        <w:t>21</w:t>
      </w:r>
      <w:r>
        <w:rPr>
          <w:rFonts w:hint="eastAsia" w:ascii="宋体" w:hAnsi="宋体" w:cs="宋体"/>
          <w:color w:val="000000"/>
          <w:kern w:val="0"/>
          <w:sz w:val="24"/>
          <w:szCs w:val="22"/>
          <w:highlight w:val="none"/>
        </w:rPr>
        <w:t>日</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37B1F"/>
    <w:multiLevelType w:val="multilevel"/>
    <w:tmpl w:val="11437B1F"/>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7D62BA"/>
    <w:multiLevelType w:val="multilevel"/>
    <w:tmpl w:val="517D62BA"/>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A83638"/>
    <w:multiLevelType w:val="multilevel"/>
    <w:tmpl w:val="61A83638"/>
    <w:lvl w:ilvl="0" w:tentative="0">
      <w:start w:val="1"/>
      <w:numFmt w:val="chineseCountingThousand"/>
      <w:pStyle w:val="3"/>
      <w:lvlText w:val="%1."/>
      <w:lvlJc w:val="left"/>
      <w:pPr>
        <w:ind w:left="0" w:firstLine="0"/>
      </w:pPr>
    </w:lvl>
    <w:lvl w:ilvl="1" w:tentative="0">
      <w:start w:val="1"/>
      <w:numFmt w:val="decimal"/>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isLg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MDc0MzU3MzkyNmQ4ZDE0OGY5ZmJlNmVhNjQzMDIifQ=="/>
  </w:docVars>
  <w:rsids>
    <w:rsidRoot w:val="139F7AA4"/>
    <w:rsid w:val="007C58AA"/>
    <w:rsid w:val="0089765C"/>
    <w:rsid w:val="008C3202"/>
    <w:rsid w:val="009C448E"/>
    <w:rsid w:val="00B01EF3"/>
    <w:rsid w:val="00B036E5"/>
    <w:rsid w:val="00B11FF7"/>
    <w:rsid w:val="00EA74BE"/>
    <w:rsid w:val="02AE1888"/>
    <w:rsid w:val="0F29204D"/>
    <w:rsid w:val="139F7AA4"/>
    <w:rsid w:val="16755B14"/>
    <w:rsid w:val="251C0EF4"/>
    <w:rsid w:val="256D012D"/>
    <w:rsid w:val="25B54155"/>
    <w:rsid w:val="276D5569"/>
    <w:rsid w:val="2AA93504"/>
    <w:rsid w:val="2E225317"/>
    <w:rsid w:val="2EFFC0D6"/>
    <w:rsid w:val="309A0827"/>
    <w:rsid w:val="329A7E62"/>
    <w:rsid w:val="3EB923BE"/>
    <w:rsid w:val="3FE575B2"/>
    <w:rsid w:val="436D2BC1"/>
    <w:rsid w:val="43EE526A"/>
    <w:rsid w:val="44A374D5"/>
    <w:rsid w:val="496C0E1B"/>
    <w:rsid w:val="55E16F6A"/>
    <w:rsid w:val="57881ACD"/>
    <w:rsid w:val="66967DC6"/>
    <w:rsid w:val="6CD81721"/>
    <w:rsid w:val="6FB33E9C"/>
    <w:rsid w:val="707F2790"/>
    <w:rsid w:val="746C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0" w:after="10" w:line="480" w:lineRule="auto"/>
      <w:outlineLvl w:val="0"/>
    </w:pPr>
    <w:rPr>
      <w:rFonts w:ascii="黑体" w:hAnsi="黑体" w:eastAsia="黑体" w:cs="宋体"/>
      <w:b/>
      <w:bCs/>
      <w:kern w:val="44"/>
      <w:sz w:val="36"/>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spacing w:line="360" w:lineRule="auto"/>
      <w:ind w:left="210"/>
      <w:jc w:val="left"/>
    </w:pPr>
    <w:rPr>
      <w:smallCaps/>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 w:type="character" w:customStyle="1" w:styleId="13">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1412</Words>
  <Characters>1461</Characters>
  <Lines>11</Lines>
  <Paragraphs>3</Paragraphs>
  <TotalTime>7</TotalTime>
  <ScaleCrop>false</ScaleCrop>
  <LinksUpToDate>false</LinksUpToDate>
  <CharactersWithSpaces>1462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2021-05-03T20:19:00Z</dcterms:created>
  <dc:creator>liu</dc:creator>
  <cp:lastModifiedBy>刘晓莹</cp:lastModifiedBy>
  <dcterms:modified xsi:type="dcterms:W3CDTF">2025-04-21T03:27:21Z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AFFA89D7E8094C82A80F1062912D3FAE_13</vt:lpwstr>
  </property>
</Properties>
</file>