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年度白云区水产养殖尾水和畜禽    养殖场环境风险监测项目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评分表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单位名称：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tbl>
      <w:tblPr>
        <w:tblStyle w:val="3"/>
        <w:tblpPr w:leftFromText="180" w:rightFromText="180" w:vertAnchor="text" w:horzAnchor="page" w:tblpX="1267" w:tblpY="318"/>
        <w:tblOverlap w:val="never"/>
        <w:tblW w:w="9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25"/>
        <w:gridCol w:w="5880"/>
        <w:gridCol w:w="750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评审项目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（分）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报名文件索引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资质能力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有资质认定证书（</w:t>
            </w:r>
            <w:r>
              <w:rPr>
                <w:rFonts w:hint="eastAsia"/>
                <w:lang w:val="en-US" w:eastAsia="zh-CN"/>
              </w:rPr>
              <w:t>CMA</w:t>
            </w:r>
            <w:r>
              <w:rPr>
                <w:rFonts w:hint="eastAsia"/>
                <w:lang w:eastAsia="zh-CN"/>
              </w:rPr>
              <w:t>）及其附表（</w:t>
            </w:r>
            <w:r>
              <w:rPr>
                <w:rFonts w:hint="eastAsia"/>
                <w:lang w:val="en-US" w:eastAsia="zh-CN"/>
              </w:rPr>
              <w:t>仅需与本项目有关部分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en-US" w:eastAsia="zh-CN"/>
              </w:rPr>
              <w:t>。（资质附表须包含本项目所有检测项目，有缺项不得分，未提供附表的不得参加评审）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具有质量管理体系认证等相关认证证书，每一份证书得一分，最多得5分。（以上须提供在有效期内的证书复印件）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textAlignment w:val="auto"/>
              <w:rPr>
                <w:rFonts w:hint="eastAsia" w:ascii="仿宋" w:hAnsi="仿宋" w:cs="仿宋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项目技术力量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  <w:lang w:val="en-US" w:eastAsia="zh-CN"/>
              </w:rPr>
              <w:t>完成项目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人员。</w:t>
            </w:r>
            <w:r>
              <w:rPr>
                <w:rFonts w:hint="eastAsia"/>
                <w:lang w:val="en-US" w:eastAsia="zh-CN"/>
              </w:rPr>
              <w:t>项目团队中每一位</w:t>
            </w:r>
            <w:r>
              <w:rPr>
                <w:rFonts w:hint="eastAsia"/>
              </w:rPr>
              <w:t>正高级职称的，得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分；副高级职称得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中级职称得</w:t>
            </w:r>
            <w:r>
              <w:rPr>
                <w:rFonts w:hint="eastAsia"/>
                <w:lang w:val="en-US" w:eastAsia="zh-CN"/>
              </w:rPr>
              <w:t>2分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最多得12分。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（须提供上述人员在</w:t>
            </w:r>
            <w:r>
              <w:rPr>
                <w:rFonts w:hint="eastAsia"/>
                <w:lang w:eastAsia="zh-CN"/>
              </w:rPr>
              <w:t>报名</w:t>
            </w:r>
            <w:r>
              <w:rPr>
                <w:rFonts w:hint="eastAsia"/>
              </w:rPr>
              <w:t>截止前三个月内购买社保或缴纳个人所得税的证明文件、相关</w:t>
            </w: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</w:rPr>
              <w:t>证明</w:t>
            </w: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</w:rPr>
              <w:t>，无提供不得分</w:t>
            </w:r>
            <w:r>
              <w:rPr>
                <w:rFonts w:hint="eastAsia"/>
                <w:lang w:eastAsia="zh-CN"/>
              </w:rPr>
              <w:t>。）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cs="仿宋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同类服务业绩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cs="仿宋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报名单位</w:t>
            </w:r>
            <w:r>
              <w:rPr>
                <w:rFonts w:hint="eastAsia" w:ascii="宋体" w:hAnsi="宋体" w:cs="仿宋_GB2312"/>
                <w:szCs w:val="21"/>
              </w:rPr>
              <w:t>近年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2022年1月至今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Cs w:val="21"/>
              </w:rPr>
              <w:t>承担过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有关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鱼塘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养殖水质检测和畜禽养殖场环境监测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项目，每个承担项目得1分，</w:t>
            </w:r>
            <w:r>
              <w:rPr>
                <w:rFonts w:hint="eastAsia" w:ascii="宋体" w:hAnsi="宋体" w:cs="仿宋_GB2312"/>
                <w:szCs w:val="21"/>
              </w:rPr>
              <w:t>最多得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分。（提供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承担</w:t>
            </w:r>
            <w:r>
              <w:rPr>
                <w:rFonts w:hint="eastAsia" w:ascii="宋体" w:hAnsi="宋体" w:cs="仿宋_GB2312"/>
                <w:szCs w:val="21"/>
              </w:rPr>
              <w:t>项目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仿宋_GB2312"/>
                <w:szCs w:val="21"/>
              </w:rPr>
              <w:t>证明文件复印件）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检测设施设备条件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具备完成项目的专业实验室：</w:t>
            </w:r>
            <w:r>
              <w:rPr>
                <w:rFonts w:hint="eastAsia"/>
                <w:lang w:val="en-US" w:eastAsia="zh-CN"/>
              </w:rPr>
              <w:t>实验室面积≧5000m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得5分、</w:t>
            </w:r>
            <w:r>
              <w:rPr>
                <w:rFonts w:hint="eastAsia"/>
                <w:lang w:val="en-US" w:eastAsia="zh-CN"/>
              </w:rPr>
              <w:t>≧3000m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得3分、小于3000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得1分，</w:t>
            </w:r>
            <w:r>
              <w:rPr>
                <w:rFonts w:hint="eastAsia"/>
                <w:lang w:val="en-US" w:eastAsia="zh-CN"/>
              </w:rPr>
              <w:t>最多得5分。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（须提供产权证明文件或租赁合同复印件）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具备完成项目的必要专业设备：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须提供设备产权证明材料，每项设施设备证明材料得0.5分，最多得8分；与完成项目无关的设备</w:t>
            </w:r>
            <w:r>
              <w:rPr>
                <w:rFonts w:hint="eastAsia" w:ascii="宋体" w:hAnsi="宋体" w:cs="仿宋_GB2312"/>
                <w:szCs w:val="21"/>
              </w:rPr>
              <w:t>不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仿宋_GB2312"/>
                <w:szCs w:val="21"/>
              </w:rPr>
              <w:t>分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项目实施工作方案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包括但不限于对本项目的服务流程、实施计划、工作方法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保障计划、质量控制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、人员管理、应急及安全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措施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等。</w:t>
            </w:r>
            <w:r>
              <w:rPr>
                <w:rFonts w:hint="eastAsia"/>
                <w:lang w:val="en-US" w:eastAsia="zh-CN"/>
              </w:rPr>
              <w:t>最多得15分。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方案内容全面、合理、计划详细、保障措施具体，有明显优势得15分。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方案内容合理、计划较详细、保障措施较具体，有优势得10分。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方案内容、计划、保障措施较一般，无优势得5分。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4、无编制项目实施工作方案，不得分。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项目报价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价格分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按照合理低价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优先法计算，即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取各报名单位报价的算术平均值作为基准价格，报名单位报价等于基准价格的得分30分，每高于或低于基准价格1%的减0.5分。最高得30分，最低得0分。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备注：报价得分四舍五入后，小数点后保留两位有效数。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121D6"/>
    <w:multiLevelType w:val="singleLevel"/>
    <w:tmpl w:val="9C7121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2CD48A"/>
    <w:multiLevelType w:val="singleLevel"/>
    <w:tmpl w:val="F22CD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017E"/>
    <w:rsid w:val="051E10EA"/>
    <w:rsid w:val="06BD017E"/>
    <w:rsid w:val="078D03A7"/>
    <w:rsid w:val="0BC51717"/>
    <w:rsid w:val="171541B5"/>
    <w:rsid w:val="1B5A38B5"/>
    <w:rsid w:val="1C990017"/>
    <w:rsid w:val="1E2F0732"/>
    <w:rsid w:val="1EFC39D6"/>
    <w:rsid w:val="26A11363"/>
    <w:rsid w:val="373572FA"/>
    <w:rsid w:val="37D6547F"/>
    <w:rsid w:val="3CC04876"/>
    <w:rsid w:val="40973FE2"/>
    <w:rsid w:val="475B15AB"/>
    <w:rsid w:val="4AAA7300"/>
    <w:rsid w:val="5AF47E52"/>
    <w:rsid w:val="5F062D3D"/>
    <w:rsid w:val="65547ED3"/>
    <w:rsid w:val="67637E4C"/>
    <w:rsid w:val="6BB01770"/>
    <w:rsid w:val="6D435C40"/>
    <w:rsid w:val="77E95C6B"/>
    <w:rsid w:val="7B013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2022-07-06T01:53:00Z</dcterms:created>
  <dc:creator>甘安辉</dc:creator>
  <cp:lastModifiedBy>甘安辉</cp:lastModifiedBy>
  <cp:lastPrinted>2024-03-28T06:06:00Z</cp:lastPrinted>
  <dcterms:modified xsi:type="dcterms:W3CDTF">2025-04-18T07:53:27Z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B2FDD919D8B84B4981AB1A4A35E87BEB</vt:lpwstr>
  </property>
</Properties>
</file>