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72" w:beforeLines="30" w:after="72" w:afterLines="30"/>
        <w:rPr>
          <w:rFonts w:ascii="Times New Roman" w:hAnsi="Times New Roman"/>
          <w:sz w:val="24"/>
          <w:szCs w:val="24"/>
          <w:lang w:bidi="ar"/>
        </w:rPr>
      </w:pPr>
      <w:bookmarkStart w:id="0" w:name="_GoBack"/>
      <w:r>
        <w:rPr>
          <w:rFonts w:ascii="Times New Roman" w:hAnsi="Times New Roman"/>
          <w:sz w:val="24"/>
          <w:szCs w:val="24"/>
          <w:lang w:bidi="ar"/>
        </w:rPr>
        <w:t>Annex 1</w:t>
      </w:r>
    </w:p>
    <w:p>
      <w:pPr>
        <w:pStyle w:val="2"/>
        <w:widowControl/>
        <w:spacing w:before="72" w:beforeLines="30" w:after="72" w:afterLines="30"/>
        <w:jc w:val="center"/>
        <w:rPr>
          <w:rFonts w:ascii="Times New Roman" w:hAnsi="Times New Roman"/>
          <w:b/>
          <w:sz w:val="32"/>
          <w:szCs w:val="32"/>
          <w:lang w:bidi="ar"/>
        </w:rPr>
      </w:pPr>
      <w:r>
        <w:rPr>
          <w:rFonts w:ascii="Times New Roman" w:hAnsi="Times New Roman"/>
          <w:b/>
          <w:sz w:val="32"/>
          <w:szCs w:val="32"/>
          <w:lang w:bidi="ar"/>
        </w:rPr>
        <w:t>Rubric for Points-Based Enrollment of Migrant Children in Baiyun District, Guangzhou</w:t>
      </w:r>
    </w:p>
    <w:bookmarkEnd w:id="0"/>
    <w:tbl>
      <w:tblPr>
        <w:tblStyle w:val="4"/>
        <w:tblW w:w="504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89"/>
        <w:gridCol w:w="667"/>
        <w:gridCol w:w="1491"/>
        <w:gridCol w:w="3388"/>
        <w:gridCol w:w="23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tblHeader/>
          <w:jc w:val="center"/>
        </w:trPr>
        <w:tc>
          <w:tcPr>
            <w:tcW w:w="400"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eastAsia="黑体"/>
                <w:sz w:val="21"/>
                <w:szCs w:val="21"/>
              </w:rPr>
            </w:pPr>
            <w:r>
              <w:rPr>
                <w:rFonts w:hint="eastAsia" w:ascii="Times New Roman" w:hAnsi="Times New Roman" w:eastAsia="宋体"/>
                <w:b/>
                <w:color w:val="000000"/>
                <w:sz w:val="21"/>
                <w:szCs w:val="21"/>
                <w:lang w:val="zh-CN"/>
              </w:rPr>
              <w:t>Type</w:t>
            </w:r>
          </w:p>
        </w:tc>
        <w:tc>
          <w:tcPr>
            <w:tcW w:w="388" w:type="pc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eastAsia="黑体"/>
                <w:sz w:val="21"/>
                <w:szCs w:val="21"/>
              </w:rPr>
            </w:pPr>
            <w:r>
              <w:rPr>
                <w:rFonts w:hint="eastAsia" w:ascii="Times New Roman" w:hAnsi="Times New Roman" w:eastAsia="宋体"/>
                <w:b/>
                <w:color w:val="000000"/>
                <w:sz w:val="21"/>
                <w:szCs w:val="21"/>
                <w:lang w:val="zh-CN"/>
              </w:rPr>
              <w:t>No.</w:t>
            </w:r>
          </w:p>
        </w:tc>
        <w:tc>
          <w:tcPr>
            <w:tcW w:w="866" w:type="pc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eastAsia="黑体"/>
                <w:sz w:val="21"/>
                <w:szCs w:val="21"/>
              </w:rPr>
            </w:pPr>
            <w:r>
              <w:rPr>
                <w:rFonts w:hint="eastAsia" w:ascii="Times New Roman" w:hAnsi="Times New Roman" w:eastAsia="宋体"/>
                <w:b/>
                <w:color w:val="000000"/>
                <w:sz w:val="21"/>
                <w:szCs w:val="21"/>
                <w:lang w:val="zh-CN"/>
              </w:rPr>
              <w:t>Indicator</w:t>
            </w:r>
          </w:p>
        </w:tc>
        <w:tc>
          <w:tcPr>
            <w:tcW w:w="1968" w:type="pc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eastAsia="黑体"/>
                <w:sz w:val="21"/>
                <w:szCs w:val="21"/>
              </w:rPr>
            </w:pPr>
            <w:r>
              <w:rPr>
                <w:rFonts w:hint="eastAsia" w:ascii="Times New Roman" w:hAnsi="Times New Roman" w:eastAsia="宋体"/>
                <w:b/>
                <w:color w:val="000000"/>
                <w:sz w:val="21"/>
                <w:szCs w:val="21"/>
                <w:lang w:val="zh-CN"/>
              </w:rPr>
              <w:t>Description and Marks</w:t>
            </w:r>
          </w:p>
        </w:tc>
        <w:tc>
          <w:tcPr>
            <w:tcW w:w="1374" w:type="pc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eastAsia="黑体"/>
                <w:sz w:val="21"/>
                <w:szCs w:val="21"/>
              </w:rPr>
            </w:pPr>
            <w:r>
              <w:rPr>
                <w:rFonts w:hint="eastAsia" w:ascii="Times New Roman" w:hAnsi="Times New Roman" w:eastAsia="宋体"/>
                <w:b/>
                <w:color w:val="000000"/>
                <w:sz w:val="21"/>
                <w:szCs w:val="21"/>
                <w:lang w:val="zh-CN"/>
              </w:rPr>
              <w:t>Remark</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restart"/>
            <w:tcBorders>
              <w:top w:val="nil"/>
              <w:left w:val="single" w:color="auto" w:sz="8" w:space="0"/>
              <w:bottom w:val="single" w:color="auto" w:sz="8" w:space="0"/>
              <w:right w:val="single" w:color="auto" w:sz="8" w:space="0"/>
            </w:tcBorders>
            <w:noWrap w:val="0"/>
            <w:tcMar>
              <w:left w:w="108" w:type="dxa"/>
              <w:right w:w="108" w:type="dxa"/>
            </w:tcMar>
            <w:textDirection w:val="tbRl"/>
            <w:vAlign w:val="center"/>
          </w:tcPr>
          <w:p>
            <w:pPr>
              <w:pStyle w:val="3"/>
              <w:widowControl/>
              <w:adjustRightInd w:val="0"/>
              <w:snapToGrid w:val="0"/>
              <w:spacing w:before="24" w:beforeLines="10" w:beforeAutospacing="0" w:after="24" w:afterLines="10" w:afterAutospacing="0"/>
              <w:ind w:left="113" w:right="113"/>
              <w:jc w:val="center"/>
              <w:rPr>
                <w:rFonts w:ascii="Times New Roman" w:hAnsi="Times New Roman"/>
                <w:sz w:val="21"/>
                <w:szCs w:val="21"/>
              </w:rPr>
            </w:pPr>
            <w:r>
              <w:rPr>
                <w:rFonts w:hint="eastAsia" w:ascii="Times New Roman" w:hAnsi="Times New Roman"/>
                <w:sz w:val="21"/>
                <w:szCs w:val="21"/>
              </w:rPr>
              <w:t>Basic In</w:t>
            </w:r>
            <w:r>
              <w:rPr>
                <w:rFonts w:ascii="Times New Roman" w:hAnsi="Times New Roman"/>
                <w:sz w:val="21"/>
                <w:szCs w:val="21"/>
              </w:rPr>
              <w:t>dicator</w:t>
            </w:r>
          </w:p>
        </w:tc>
        <w:tc>
          <w:tcPr>
            <w:tcW w:w="388"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1</w:t>
            </w:r>
          </w:p>
        </w:tc>
        <w:tc>
          <w:tcPr>
            <w:tcW w:w="866"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Legal and Stable Residence</w:t>
            </w:r>
          </w:p>
        </w:tc>
        <w:tc>
          <w:tcPr>
            <w:tcW w:w="1968" w:type="pct"/>
            <w:tcBorders>
              <w:top w:val="nil"/>
              <w:left w:val="nil"/>
              <w:bottom w:val="single" w:color="auto" w:sz="8" w:space="0"/>
              <w:right w:val="single" w:color="auto" w:sz="8" w:space="0"/>
            </w:tcBorders>
            <w:noWrap w:val="0"/>
            <w:tcMar>
              <w:left w:w="108" w:type="dxa"/>
              <w:right w:w="108" w:type="dxa"/>
            </w:tcMar>
            <w:vAlign w:val="center"/>
          </w:tcPr>
          <w:p>
            <w:pPr>
              <w:widowControl/>
              <w:spacing w:before="24" w:beforeLines="10" w:after="24" w:afterLines="10"/>
              <w:ind w:firstLine="420" w:firstLineChars="200"/>
              <w:rPr>
                <w:rFonts w:ascii="Times New Roman" w:hAnsi="Times New Roman" w:eastAsia="宋体"/>
                <w:color w:val="000000"/>
                <w:kern w:val="0"/>
                <w:sz w:val="21"/>
                <w:szCs w:val="21"/>
                <w:lang w:val="en-GB"/>
              </w:rPr>
            </w:pPr>
            <w:r>
              <w:rPr>
                <w:rFonts w:hint="eastAsia" w:ascii="Times New Roman" w:hAnsi="Times New Roman" w:eastAsia="宋体"/>
                <w:color w:val="000000"/>
                <w:kern w:val="0"/>
                <w:sz w:val="21"/>
                <w:szCs w:val="21"/>
                <w:lang w:val="en-GB"/>
              </w:rPr>
              <w:t xml:space="preserve">1. </w:t>
            </w:r>
            <w:r>
              <w:rPr>
                <w:rFonts w:ascii="Times New Roman" w:hAnsi="Times New Roman" w:eastAsia="宋体"/>
                <w:color w:val="000000"/>
                <w:kern w:val="0"/>
                <w:sz w:val="21"/>
                <w:szCs w:val="21"/>
                <w:lang w:val="en-GB"/>
              </w:rPr>
              <w:t xml:space="preserve">Holding a </w:t>
            </w:r>
            <w:r>
              <w:rPr>
                <w:rFonts w:ascii="Times New Roman" w:hAnsi="Times New Roman" w:eastAsia="宋体"/>
                <w:i/>
                <w:iCs/>
                <w:color w:val="000000"/>
                <w:kern w:val="0"/>
                <w:sz w:val="21"/>
                <w:szCs w:val="21"/>
                <w:lang w:val="en-GB"/>
              </w:rPr>
              <w:t>Guangdong Residence Permit</w:t>
            </w:r>
            <w:r>
              <w:rPr>
                <w:rFonts w:ascii="Times New Roman" w:hAnsi="Times New Roman" w:eastAsia="宋体"/>
                <w:color w:val="000000"/>
                <w:kern w:val="0"/>
                <w:sz w:val="21"/>
                <w:szCs w:val="21"/>
                <w:lang w:val="en-GB"/>
              </w:rPr>
              <w:t xml:space="preserve"> </w:t>
            </w:r>
            <w:r>
              <w:rPr>
                <w:rFonts w:hint="eastAsia" w:ascii="Times New Roman" w:hAnsi="Times New Roman" w:eastAsia="宋体"/>
                <w:color w:val="000000"/>
                <w:kern w:val="0"/>
                <w:sz w:val="21"/>
                <w:szCs w:val="21"/>
                <w:lang w:val="en-GB"/>
              </w:rPr>
              <w:t>issued</w:t>
            </w:r>
            <w:r>
              <w:rPr>
                <w:rFonts w:ascii="Times New Roman" w:hAnsi="Times New Roman" w:eastAsia="宋体"/>
                <w:color w:val="000000"/>
                <w:kern w:val="0"/>
                <w:sz w:val="21"/>
                <w:szCs w:val="21"/>
                <w:lang w:val="en-GB"/>
              </w:rPr>
              <w:t xml:space="preserve"> in Guangzhou</w:t>
            </w:r>
            <w:r>
              <w:rPr>
                <w:rFonts w:hint="eastAsia" w:ascii="Times New Roman" w:hAnsi="Times New Roman" w:eastAsia="宋体"/>
                <w:color w:val="000000"/>
                <w:kern w:val="0"/>
                <w:sz w:val="21"/>
                <w:szCs w:val="21"/>
                <w:lang w:val="en-GB"/>
              </w:rPr>
              <w:t xml:space="preserve"> (</w:t>
            </w:r>
            <w:r>
              <w:rPr>
                <w:rFonts w:ascii="Times New Roman" w:hAnsi="Times New Roman" w:eastAsia="宋体"/>
                <w:color w:val="000000"/>
                <w:kern w:val="0"/>
                <w:sz w:val="21"/>
                <w:szCs w:val="21"/>
                <w:lang w:val="en-GB"/>
              </w:rPr>
              <w:t>8 points</w:t>
            </w:r>
            <w:r>
              <w:rPr>
                <w:rFonts w:hint="eastAsia" w:ascii="Times New Roman" w:hAnsi="Times New Roman" w:eastAsia="宋体"/>
                <w:color w:val="000000"/>
                <w:kern w:val="0"/>
                <w:sz w:val="21"/>
                <w:szCs w:val="21"/>
                <w:lang w:val="en-GB"/>
              </w:rPr>
              <w:t xml:space="preserve"> per full </w:t>
            </w:r>
            <w:r>
              <w:rPr>
                <w:rFonts w:ascii="Times New Roman" w:hAnsi="Times New Roman" w:eastAsia="宋体"/>
                <w:color w:val="000000"/>
                <w:kern w:val="0"/>
                <w:sz w:val="21"/>
                <w:szCs w:val="21"/>
                <w:lang w:val="en-GB"/>
              </w:rPr>
              <w:t>year</w:t>
            </w:r>
            <w:r>
              <w:rPr>
                <w:rFonts w:hint="eastAsia" w:ascii="Times New Roman" w:hAnsi="Times New Roman" w:eastAsia="宋体"/>
                <w:color w:val="000000"/>
                <w:kern w:val="0"/>
                <w:sz w:val="21"/>
                <w:szCs w:val="21"/>
                <w:lang w:val="en-GB"/>
              </w:rPr>
              <w:t>);</w:t>
            </w:r>
          </w:p>
          <w:p>
            <w:pPr>
              <w:widowControl/>
              <w:spacing w:before="24" w:beforeLines="10" w:after="24" w:afterLines="10"/>
              <w:ind w:firstLine="420" w:firstLineChars="200"/>
              <w:rPr>
                <w:rFonts w:hint="eastAsia" w:ascii="Times New Roman" w:hAnsi="Times New Roman" w:eastAsia="宋体"/>
                <w:color w:val="000000"/>
                <w:kern w:val="0"/>
                <w:sz w:val="21"/>
                <w:szCs w:val="21"/>
                <w:lang w:val="en-GB"/>
              </w:rPr>
            </w:pPr>
            <w:r>
              <w:rPr>
                <w:rFonts w:hint="eastAsia" w:ascii="Times New Roman" w:hAnsi="Times New Roman" w:eastAsia="宋体"/>
                <w:color w:val="000000"/>
                <w:kern w:val="0"/>
                <w:sz w:val="21"/>
                <w:szCs w:val="21"/>
                <w:lang w:val="en-GB"/>
              </w:rPr>
              <w:t xml:space="preserve">2. </w:t>
            </w:r>
            <w:r>
              <w:rPr>
                <w:rFonts w:ascii="Times New Roman" w:hAnsi="Times New Roman" w:eastAsia="宋体"/>
                <w:color w:val="000000"/>
                <w:kern w:val="0"/>
                <w:sz w:val="21"/>
                <w:szCs w:val="21"/>
                <w:lang w:val="en-GB"/>
              </w:rPr>
              <w:t>Accumulated years of residence in Guangzhou:</w:t>
            </w:r>
          </w:p>
          <w:p>
            <w:pPr>
              <w:widowControl/>
              <w:spacing w:before="24" w:beforeLines="10" w:after="24" w:afterLines="10"/>
              <w:ind w:firstLine="420" w:firstLineChars="200"/>
              <w:rPr>
                <w:rFonts w:hint="eastAsia" w:ascii="Times New Roman" w:hAnsi="Times New Roman" w:eastAsia="宋体"/>
                <w:color w:val="000000"/>
                <w:kern w:val="0"/>
                <w:sz w:val="21"/>
                <w:szCs w:val="21"/>
                <w:lang w:val="en-GB"/>
              </w:rPr>
            </w:pPr>
            <w:r>
              <w:rPr>
                <w:rFonts w:hint="eastAsia" w:ascii="Times New Roman" w:hAnsi="Times New Roman" w:eastAsia="宋体"/>
                <w:color w:val="000000"/>
                <w:kern w:val="0"/>
                <w:sz w:val="21"/>
                <w:szCs w:val="21"/>
                <w:lang w:val="en-GB"/>
              </w:rPr>
              <w:t xml:space="preserve">(1) </w:t>
            </w:r>
            <w:r>
              <w:rPr>
                <w:rFonts w:ascii="Times New Roman" w:hAnsi="Times New Roman" w:eastAsia="宋体"/>
                <w:color w:val="000000"/>
                <w:kern w:val="0"/>
                <w:sz w:val="21"/>
                <w:szCs w:val="21"/>
                <w:lang w:val="en-GB"/>
              </w:rPr>
              <w:t>Legal property residence</w:t>
            </w:r>
            <w:r>
              <w:rPr>
                <w:rFonts w:hint="eastAsia" w:ascii="Times New Roman" w:hAnsi="Times New Roman" w:eastAsia="宋体"/>
                <w:color w:val="000000"/>
                <w:kern w:val="0"/>
                <w:sz w:val="21"/>
                <w:szCs w:val="21"/>
                <w:lang w:val="en-GB"/>
              </w:rPr>
              <w:t xml:space="preserve"> (</w:t>
            </w:r>
            <w:r>
              <w:rPr>
                <w:rFonts w:ascii="Times New Roman" w:hAnsi="Times New Roman" w:eastAsia="宋体"/>
                <w:color w:val="000000"/>
                <w:kern w:val="0"/>
                <w:sz w:val="21"/>
                <w:szCs w:val="21"/>
                <w:lang w:val="en-GB"/>
              </w:rPr>
              <w:t>20 points</w:t>
            </w:r>
            <w:r>
              <w:rPr>
                <w:rFonts w:hint="eastAsia" w:ascii="Times New Roman" w:hAnsi="Times New Roman" w:eastAsia="宋体"/>
                <w:color w:val="000000"/>
                <w:kern w:val="0"/>
                <w:sz w:val="21"/>
                <w:szCs w:val="21"/>
                <w:lang w:val="en-GB"/>
              </w:rPr>
              <w:t>);</w:t>
            </w:r>
          </w:p>
          <w:p>
            <w:pPr>
              <w:widowControl/>
              <w:spacing w:before="24" w:beforeLines="10" w:after="24" w:afterLines="10"/>
              <w:ind w:firstLine="420" w:firstLineChars="200"/>
              <w:rPr>
                <w:rFonts w:hint="eastAsia" w:ascii="Times New Roman" w:hAnsi="Times New Roman" w:eastAsia="宋体"/>
                <w:color w:val="000000"/>
                <w:kern w:val="0"/>
                <w:sz w:val="21"/>
                <w:szCs w:val="21"/>
                <w:lang w:val="en-GB"/>
              </w:rPr>
            </w:pPr>
            <w:r>
              <w:rPr>
                <w:rFonts w:hint="eastAsia" w:ascii="Times New Roman" w:hAnsi="Times New Roman" w:eastAsia="宋体"/>
                <w:color w:val="000000"/>
                <w:kern w:val="0"/>
                <w:sz w:val="21"/>
                <w:szCs w:val="21"/>
                <w:lang w:val="en-GB"/>
              </w:rPr>
              <w:t xml:space="preserve">(2) </w:t>
            </w:r>
            <w:r>
              <w:rPr>
                <w:rFonts w:ascii="Times New Roman" w:hAnsi="Times New Roman" w:eastAsia="宋体"/>
                <w:color w:val="000000"/>
                <w:kern w:val="0"/>
                <w:sz w:val="21"/>
                <w:szCs w:val="21"/>
                <w:lang w:val="en-GB"/>
              </w:rPr>
              <w:t xml:space="preserve">Legal rental residence or </w:t>
            </w:r>
            <w:r>
              <w:rPr>
                <w:rFonts w:hint="eastAsia" w:ascii="Times New Roman" w:hAnsi="Times New Roman" w:eastAsia="宋体"/>
                <w:color w:val="000000"/>
                <w:kern w:val="0"/>
                <w:sz w:val="21"/>
                <w:szCs w:val="21"/>
                <w:lang w:val="en-GB"/>
              </w:rPr>
              <w:t>employee</w:t>
            </w:r>
            <w:r>
              <w:rPr>
                <w:rFonts w:ascii="Times New Roman" w:hAnsi="Times New Roman" w:eastAsia="宋体"/>
                <w:color w:val="000000"/>
                <w:kern w:val="0"/>
                <w:sz w:val="21"/>
                <w:szCs w:val="21"/>
                <w:lang w:val="en-GB"/>
              </w:rPr>
              <w:t xml:space="preserve"> dormitory</w:t>
            </w:r>
            <w:r>
              <w:rPr>
                <w:rFonts w:hint="eastAsia" w:ascii="Times New Roman" w:hAnsi="Times New Roman" w:eastAsia="宋体"/>
                <w:color w:val="000000"/>
                <w:kern w:val="0"/>
                <w:sz w:val="21"/>
                <w:szCs w:val="21"/>
                <w:lang w:val="en-GB"/>
              </w:rPr>
              <w:t xml:space="preserve"> (</w:t>
            </w:r>
            <w:r>
              <w:rPr>
                <w:rFonts w:ascii="Times New Roman" w:hAnsi="Times New Roman" w:eastAsia="宋体"/>
                <w:color w:val="000000"/>
                <w:kern w:val="0"/>
                <w:sz w:val="21"/>
                <w:szCs w:val="21"/>
                <w:lang w:val="en-GB"/>
              </w:rPr>
              <w:t>5 points</w:t>
            </w:r>
            <w:r>
              <w:rPr>
                <w:rFonts w:hint="eastAsia" w:ascii="Times New Roman" w:hAnsi="Times New Roman" w:eastAsia="宋体"/>
                <w:color w:val="000000"/>
                <w:kern w:val="0"/>
                <w:sz w:val="21"/>
                <w:szCs w:val="21"/>
                <w:lang w:val="en-GB"/>
              </w:rPr>
              <w:t xml:space="preserve"> per full year</w:t>
            </w:r>
            <w:r>
              <w:rPr>
                <w:rFonts w:ascii="Times New Roman" w:hAnsi="Times New Roman" w:eastAsia="宋体"/>
                <w:color w:val="000000"/>
                <w:kern w:val="0"/>
                <w:sz w:val="21"/>
                <w:szCs w:val="21"/>
                <w:lang w:val="en-GB"/>
              </w:rPr>
              <w:t>,</w:t>
            </w:r>
            <w:r>
              <w:rPr>
                <w:rFonts w:hint="eastAsia" w:ascii="Times New Roman" w:hAnsi="Times New Roman" w:eastAsia="宋体"/>
                <w:color w:val="000000"/>
                <w:kern w:val="0"/>
                <w:sz w:val="21"/>
                <w:szCs w:val="21"/>
                <w:lang w:val="en-GB"/>
              </w:rPr>
              <w:t xml:space="preserve"> up to</w:t>
            </w:r>
            <w:r>
              <w:rPr>
                <w:rFonts w:ascii="Times New Roman" w:hAnsi="Times New Roman" w:eastAsia="宋体"/>
                <w:color w:val="000000"/>
                <w:kern w:val="0"/>
                <w:sz w:val="21"/>
                <w:szCs w:val="21"/>
                <w:lang w:val="en-GB"/>
              </w:rPr>
              <w:t xml:space="preserve"> 20 points</w:t>
            </w:r>
            <w:r>
              <w:rPr>
                <w:rFonts w:hint="eastAsia" w:ascii="Times New Roman" w:hAnsi="Times New Roman" w:eastAsia="宋体"/>
                <w:color w:val="000000"/>
                <w:kern w:val="0"/>
                <w:sz w:val="21"/>
                <w:szCs w:val="21"/>
                <w:lang w:val="en-GB"/>
              </w:rPr>
              <w:t>)</w:t>
            </w:r>
            <w:r>
              <w:rPr>
                <w:rFonts w:ascii="Times New Roman" w:hAnsi="Times New Roman" w:eastAsia="宋体"/>
                <w:color w:val="000000"/>
                <w:kern w:val="0"/>
                <w:sz w:val="21"/>
                <w:szCs w:val="21"/>
                <w:lang w:val="en-GB"/>
              </w:rPr>
              <w:t>.</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hint="eastAsia" w:ascii="Times New Roman" w:hAnsi="Times New Roman" w:eastAsia="宋体"/>
                <w:color w:val="000000"/>
                <w:sz w:val="21"/>
                <w:szCs w:val="21"/>
                <w:lang w:val="en-GB"/>
              </w:rPr>
              <w:t>3. Having r</w:t>
            </w:r>
            <w:r>
              <w:rPr>
                <w:rFonts w:ascii="Times New Roman" w:hAnsi="Times New Roman" w:eastAsia="宋体"/>
                <w:color w:val="000000"/>
                <w:sz w:val="21"/>
                <w:szCs w:val="21"/>
                <w:lang w:val="en-GB"/>
              </w:rPr>
              <w:t>elocat</w:t>
            </w:r>
            <w:r>
              <w:rPr>
                <w:rFonts w:hint="eastAsia" w:ascii="Times New Roman" w:hAnsi="Times New Roman" w:eastAsia="宋体"/>
                <w:color w:val="000000"/>
                <w:sz w:val="21"/>
                <w:szCs w:val="21"/>
                <w:lang w:val="en-GB"/>
              </w:rPr>
              <w:t>ed</w:t>
            </w:r>
            <w:r>
              <w:rPr>
                <w:rFonts w:ascii="Times New Roman" w:hAnsi="Times New Roman" w:eastAsia="宋体"/>
                <w:color w:val="000000"/>
                <w:sz w:val="21"/>
                <w:szCs w:val="21"/>
                <w:lang w:val="en-GB"/>
              </w:rPr>
              <w:t xml:space="preserve"> from Yuexiu, Haizhu, Liwan, or Tianhe </w:t>
            </w:r>
            <w:r>
              <w:rPr>
                <w:rFonts w:hint="eastAsia" w:ascii="Times New Roman" w:hAnsi="Times New Roman" w:eastAsia="宋体"/>
                <w:color w:val="000000"/>
                <w:sz w:val="21"/>
                <w:szCs w:val="21"/>
                <w:lang w:val="en-GB"/>
              </w:rPr>
              <w:t>D</w:t>
            </w:r>
            <w:r>
              <w:rPr>
                <w:rFonts w:ascii="Times New Roman" w:hAnsi="Times New Roman" w:eastAsia="宋体"/>
                <w:color w:val="000000"/>
                <w:sz w:val="21"/>
                <w:szCs w:val="21"/>
                <w:lang w:val="en-GB"/>
              </w:rPr>
              <w:t>istricts to other administrative districts in Guangzhou</w:t>
            </w:r>
            <w:r>
              <w:rPr>
                <w:rFonts w:hint="eastAsia" w:ascii="Times New Roman" w:hAnsi="Times New Roman" w:eastAsia="宋体"/>
                <w:color w:val="000000"/>
                <w:sz w:val="21"/>
                <w:szCs w:val="21"/>
                <w:lang w:val="en-GB"/>
              </w:rPr>
              <w:t xml:space="preserve"> (</w:t>
            </w:r>
            <w:r>
              <w:rPr>
                <w:rFonts w:ascii="Times New Roman" w:hAnsi="Times New Roman" w:eastAsia="宋体"/>
                <w:color w:val="000000"/>
                <w:sz w:val="21"/>
                <w:szCs w:val="21"/>
                <w:lang w:val="en-GB"/>
              </w:rPr>
              <w:t>2 points</w:t>
            </w:r>
            <w:r>
              <w:rPr>
                <w:rFonts w:hint="eastAsia" w:ascii="Times New Roman" w:hAnsi="Times New Roman" w:eastAsia="宋体"/>
                <w:color w:val="000000"/>
                <w:sz w:val="21"/>
                <w:szCs w:val="21"/>
                <w:lang w:val="en-GB"/>
              </w:rPr>
              <w:t xml:space="preserve"> per full year</w:t>
            </w:r>
            <w:r>
              <w:rPr>
                <w:rFonts w:ascii="Times New Roman" w:hAnsi="Times New Roman" w:eastAsia="宋体"/>
                <w:color w:val="000000"/>
                <w:sz w:val="21"/>
                <w:szCs w:val="21"/>
                <w:lang w:val="en-GB"/>
              </w:rPr>
              <w:t>, up to 10 points</w:t>
            </w:r>
            <w:r>
              <w:rPr>
                <w:rFonts w:hint="eastAsia" w:ascii="Times New Roman" w:hAnsi="Times New Roman" w:eastAsia="宋体"/>
                <w:color w:val="000000"/>
                <w:sz w:val="21"/>
                <w:szCs w:val="21"/>
                <w:lang w:val="en-GB"/>
              </w:rPr>
              <w:t>)</w:t>
            </w:r>
            <w:r>
              <w:rPr>
                <w:rFonts w:ascii="Times New Roman" w:hAnsi="Times New Roman" w:eastAsia="宋体"/>
                <w:color w:val="000000"/>
                <w:sz w:val="21"/>
                <w:szCs w:val="21"/>
                <w:lang w:val="en-GB"/>
              </w:rPr>
              <w:t>.</w:t>
            </w:r>
          </w:p>
        </w:tc>
        <w:tc>
          <w:tcPr>
            <w:tcW w:w="1374"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eastAsia="宋体"/>
                <w:color w:val="000000"/>
                <w:sz w:val="21"/>
                <w:szCs w:val="21"/>
              </w:rPr>
              <w:t xml:space="preserve">If an applicant </w:t>
            </w:r>
            <w:r>
              <w:rPr>
                <w:rFonts w:hint="eastAsia" w:ascii="Times New Roman" w:hAnsi="Times New Roman" w:eastAsia="宋体"/>
                <w:color w:val="000000"/>
                <w:sz w:val="21"/>
                <w:szCs w:val="21"/>
              </w:rPr>
              <w:t>has</w:t>
            </w:r>
            <w:r>
              <w:rPr>
                <w:rFonts w:ascii="Times New Roman" w:hAnsi="Times New Roman" w:eastAsia="宋体"/>
                <w:color w:val="000000"/>
                <w:sz w:val="21"/>
                <w:szCs w:val="21"/>
              </w:rPr>
              <w:t xml:space="preserve"> both legal property and legal rental housing, they must choose one for scoring purposes.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before="24" w:beforeLines="10" w:after="24" w:afterLines="10"/>
              <w:rPr>
                <w:rFonts w:ascii="Times New Roman" w:hAnsi="Times New Roman"/>
                <w:sz w:val="21"/>
                <w:szCs w:val="21"/>
              </w:rPr>
            </w:pPr>
          </w:p>
        </w:tc>
        <w:tc>
          <w:tcPr>
            <w:tcW w:w="388"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2</w:t>
            </w:r>
          </w:p>
        </w:tc>
        <w:tc>
          <w:tcPr>
            <w:tcW w:w="866"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Legal and Stable Employment</w:t>
            </w:r>
          </w:p>
        </w:tc>
        <w:tc>
          <w:tcPr>
            <w:tcW w:w="1968"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Working (or starting a business) in Guangzhou and participating in urban basic endowment insurance, social medical insurance (including employee social medical insurance and urban-rural resident medical insurance), unemployment insurance, work injury insurance, and maternity insurance (2 points per full year for each type of insurance). Additionally, contributing to the housing provident fund in Guangzhou (2 points per full year).</w:t>
            </w:r>
          </w:p>
        </w:tc>
        <w:tc>
          <w:tcPr>
            <w:tcW w:w="1374"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Years of payment for employee social medical insurance through unemployment insurance funds and years of payment for medical insurance for migrant workers are included in the cumulative payment time. However, time periods for social insurance transferred from outside the city or retroactively paid are not counted. Overlapping periods of participation in social insurance are not double-counted. Time periods for housing provident fund transferred from outside the city or retroactively paid are also not counted.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before="24" w:beforeLines="10" w:after="24" w:afterLines="10"/>
              <w:rPr>
                <w:rFonts w:ascii="Times New Roman" w:hAnsi="Times New Roman"/>
                <w:sz w:val="21"/>
                <w:szCs w:val="21"/>
              </w:rPr>
            </w:pPr>
          </w:p>
        </w:tc>
        <w:tc>
          <w:tcPr>
            <w:tcW w:w="388"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3</w:t>
            </w:r>
          </w:p>
        </w:tc>
        <w:tc>
          <w:tcPr>
            <w:tcW w:w="866"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Age</w:t>
            </w:r>
          </w:p>
        </w:tc>
        <w:tc>
          <w:tcPr>
            <w:tcW w:w="1968"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18 to 40 years old (30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hint="eastAsia" w:ascii="Times New Roman" w:hAnsi="Times New Roman" w:eastAsia="宋体"/>
                <w:color w:val="000000"/>
                <w:sz w:val="21"/>
                <w:szCs w:val="21"/>
                <w:lang w:val="en-GB"/>
              </w:rPr>
              <w:t xml:space="preserve">2. </w:t>
            </w:r>
            <w:r>
              <w:rPr>
                <w:rFonts w:ascii="Times New Roman" w:hAnsi="Times New Roman" w:eastAsia="宋体"/>
                <w:color w:val="000000"/>
                <w:sz w:val="21"/>
                <w:szCs w:val="21"/>
                <w:lang w:val="en-GB"/>
              </w:rPr>
              <w:t>Over 40 years old</w:t>
            </w:r>
            <w:r>
              <w:rPr>
                <w:rFonts w:hint="eastAsia" w:ascii="Times New Roman" w:hAnsi="Times New Roman" w:eastAsia="宋体"/>
                <w:color w:val="000000"/>
                <w:sz w:val="21"/>
                <w:szCs w:val="21"/>
                <w:lang w:val="en-GB"/>
              </w:rPr>
              <w:t xml:space="preserve"> (</w:t>
            </w:r>
            <w:r>
              <w:rPr>
                <w:rFonts w:ascii="Times New Roman" w:hAnsi="Times New Roman" w:eastAsia="宋体"/>
                <w:color w:val="000000"/>
                <w:sz w:val="21"/>
                <w:szCs w:val="21"/>
                <w:lang w:val="en-GB"/>
              </w:rPr>
              <w:t>30 points minus 2 points for each additional year or part thereof).</w:t>
            </w:r>
          </w:p>
        </w:tc>
        <w:tc>
          <w:tcPr>
            <w:tcW w:w="1374"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Scores are dynamically adjusted and can go as low as 0 points.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restart"/>
            <w:tcBorders>
              <w:top w:val="nil"/>
              <w:left w:val="single" w:color="auto" w:sz="4" w:space="0"/>
              <w:right w:val="single" w:color="auto" w:sz="8" w:space="0"/>
            </w:tcBorders>
            <w:noWrap w:val="0"/>
            <w:tcMar>
              <w:left w:w="108" w:type="dxa"/>
              <w:right w:w="108" w:type="dxa"/>
            </w:tcMar>
            <w:textDirection w:val="tbRl"/>
            <w:vAlign w:val="center"/>
          </w:tcPr>
          <w:p>
            <w:pPr>
              <w:pStyle w:val="3"/>
              <w:widowControl/>
              <w:adjustRightInd w:val="0"/>
              <w:snapToGrid w:val="0"/>
              <w:spacing w:before="24" w:beforeLines="10" w:beforeAutospacing="0" w:after="24" w:afterLines="10" w:afterAutospacing="0"/>
              <w:ind w:left="113" w:right="113"/>
              <w:jc w:val="center"/>
              <w:rPr>
                <w:rFonts w:ascii="Times New Roman" w:hAnsi="Times New Roman"/>
                <w:sz w:val="21"/>
                <w:szCs w:val="21"/>
              </w:rPr>
            </w:pPr>
            <w:r>
              <w:rPr>
                <w:rFonts w:ascii="Times New Roman" w:hAnsi="Times New Roman"/>
                <w:sz w:val="21"/>
                <w:szCs w:val="21"/>
              </w:rPr>
              <w:t>Bonus Indicator</w:t>
            </w:r>
          </w:p>
        </w:tc>
        <w:tc>
          <w:tcPr>
            <w:tcW w:w="388"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1</w:t>
            </w:r>
          </w:p>
        </w:tc>
        <w:tc>
          <w:tcPr>
            <w:tcW w:w="866"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Educational Background</w:t>
            </w:r>
          </w:p>
        </w:tc>
        <w:tc>
          <w:tcPr>
            <w:tcW w:w="1968"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Bachelor’s degree or higher (30 points);</w:t>
            </w:r>
          </w:p>
          <w:p>
            <w:pPr>
              <w:widowControl/>
              <w:spacing w:before="24" w:beforeLines="10" w:after="24" w:afterLines="10"/>
              <w:ind w:firstLine="420" w:firstLineChars="200"/>
              <w:rPr>
                <w:rFonts w:hint="eastAsia" w:ascii="Times New Roman" w:hAnsi="Times New Roman" w:eastAsia="宋体"/>
                <w:color w:val="000000"/>
                <w:kern w:val="0"/>
                <w:sz w:val="21"/>
                <w:szCs w:val="21"/>
                <w:lang w:val="en-GB"/>
              </w:rPr>
            </w:pPr>
            <w:r>
              <w:rPr>
                <w:rFonts w:hint="eastAsia" w:ascii="Times New Roman" w:hAnsi="Times New Roman" w:eastAsia="宋体"/>
                <w:color w:val="000000"/>
                <w:kern w:val="0"/>
                <w:sz w:val="21"/>
                <w:szCs w:val="21"/>
                <w:lang w:val="en-GB"/>
              </w:rPr>
              <w:t xml:space="preserve">2. </w:t>
            </w:r>
            <w:r>
              <w:rPr>
                <w:rFonts w:ascii="Times New Roman" w:hAnsi="Times New Roman" w:eastAsia="宋体"/>
                <w:color w:val="000000"/>
                <w:kern w:val="0"/>
                <w:sz w:val="21"/>
                <w:szCs w:val="21"/>
                <w:lang w:val="en-GB"/>
              </w:rPr>
              <w:t>Associate degree</w:t>
            </w:r>
            <w:r>
              <w:rPr>
                <w:rFonts w:hint="eastAsia" w:ascii="Times New Roman" w:hAnsi="Times New Roman" w:eastAsia="宋体"/>
                <w:color w:val="000000"/>
                <w:kern w:val="0"/>
                <w:sz w:val="21"/>
                <w:szCs w:val="21"/>
                <w:lang w:val="en-GB"/>
              </w:rPr>
              <w:t xml:space="preserve">, </w:t>
            </w:r>
            <w:r>
              <w:rPr>
                <w:rFonts w:ascii="Times New Roman" w:hAnsi="Times New Roman" w:eastAsia="宋体"/>
                <w:color w:val="000000"/>
                <w:kern w:val="0"/>
                <w:sz w:val="21"/>
                <w:szCs w:val="21"/>
                <w:lang w:val="en-GB"/>
              </w:rPr>
              <w:t xml:space="preserve">including higher vocational education </w:t>
            </w:r>
            <w:r>
              <w:rPr>
                <w:rFonts w:hint="eastAsia" w:ascii="Times New Roman" w:hAnsi="Times New Roman" w:eastAsia="宋体"/>
                <w:color w:val="000000"/>
                <w:kern w:val="0"/>
                <w:sz w:val="21"/>
                <w:szCs w:val="21"/>
                <w:lang w:val="en-GB"/>
              </w:rPr>
              <w:t>(</w:t>
            </w:r>
            <w:r>
              <w:rPr>
                <w:rFonts w:ascii="Times New Roman" w:hAnsi="Times New Roman" w:eastAsia="宋体"/>
                <w:color w:val="000000"/>
                <w:kern w:val="0"/>
                <w:sz w:val="21"/>
                <w:szCs w:val="21"/>
                <w:lang w:val="en-GB"/>
              </w:rPr>
              <w:t>20 points</w:t>
            </w:r>
            <w:r>
              <w:rPr>
                <w:rFonts w:hint="eastAsia" w:ascii="Times New Roman" w:hAnsi="Times New Roman" w:eastAsia="宋体"/>
                <w:color w:val="000000"/>
                <w:kern w:val="0"/>
                <w:sz w:val="21"/>
                <w:szCs w:val="21"/>
                <w:lang w:val="en-GB"/>
              </w:rPr>
              <w:t>);</w:t>
            </w:r>
          </w:p>
          <w:p>
            <w:pPr>
              <w:widowControl/>
              <w:spacing w:before="24" w:beforeLines="10" w:after="24" w:afterLines="10"/>
              <w:ind w:firstLine="420" w:firstLineChars="200"/>
              <w:rPr>
                <w:rFonts w:hint="eastAsia" w:ascii="Times New Roman" w:hAnsi="Times New Roman"/>
                <w:sz w:val="21"/>
                <w:szCs w:val="21"/>
              </w:rPr>
            </w:pPr>
            <w:r>
              <w:rPr>
                <w:rFonts w:hint="eastAsia" w:ascii="Times New Roman" w:hAnsi="Times New Roman" w:eastAsia="宋体"/>
                <w:color w:val="000000"/>
                <w:kern w:val="0"/>
                <w:sz w:val="21"/>
                <w:szCs w:val="21"/>
                <w:lang w:val="en-GB"/>
              </w:rPr>
              <w:t xml:space="preserve">3. </w:t>
            </w:r>
            <w:r>
              <w:rPr>
                <w:rFonts w:ascii="Times New Roman" w:hAnsi="Times New Roman" w:eastAsia="宋体"/>
                <w:color w:val="000000"/>
                <w:kern w:val="0"/>
                <w:sz w:val="21"/>
                <w:szCs w:val="21"/>
                <w:lang w:val="en-GB"/>
              </w:rPr>
              <w:t>High school diploma</w:t>
            </w:r>
            <w:r>
              <w:rPr>
                <w:rFonts w:hint="eastAsia" w:ascii="Times New Roman" w:hAnsi="Times New Roman" w:eastAsia="宋体"/>
                <w:color w:val="000000"/>
                <w:kern w:val="0"/>
                <w:sz w:val="21"/>
                <w:szCs w:val="21"/>
                <w:lang w:val="en-GB"/>
              </w:rPr>
              <w:t xml:space="preserve">, </w:t>
            </w:r>
            <w:r>
              <w:rPr>
                <w:rFonts w:ascii="Times New Roman" w:hAnsi="Times New Roman" w:eastAsia="宋体"/>
                <w:color w:val="000000"/>
                <w:kern w:val="0"/>
                <w:sz w:val="21"/>
                <w:szCs w:val="21"/>
                <w:lang w:val="en-GB"/>
              </w:rPr>
              <w:t>including secondary vocational education</w:t>
            </w:r>
            <w:r>
              <w:rPr>
                <w:rFonts w:hint="eastAsia" w:ascii="Times New Roman" w:hAnsi="Times New Roman" w:eastAsia="宋体"/>
                <w:color w:val="000000"/>
                <w:kern w:val="0"/>
                <w:sz w:val="21"/>
                <w:szCs w:val="21"/>
                <w:lang w:val="en-GB"/>
              </w:rPr>
              <w:t xml:space="preserve"> (</w:t>
            </w:r>
            <w:r>
              <w:rPr>
                <w:rFonts w:ascii="Times New Roman" w:hAnsi="Times New Roman" w:eastAsia="宋体"/>
                <w:color w:val="000000"/>
                <w:kern w:val="0"/>
                <w:sz w:val="21"/>
                <w:szCs w:val="21"/>
                <w:lang w:val="en-GB"/>
              </w:rPr>
              <w:t>10 points</w:t>
            </w:r>
            <w:r>
              <w:rPr>
                <w:rFonts w:hint="eastAsia" w:ascii="Times New Roman" w:hAnsi="Times New Roman" w:eastAsia="宋体"/>
                <w:color w:val="000000"/>
                <w:kern w:val="0"/>
                <w:sz w:val="21"/>
                <w:szCs w:val="21"/>
                <w:lang w:val="en-GB"/>
              </w:rPr>
              <w:t>)</w:t>
            </w:r>
            <w:r>
              <w:rPr>
                <w:rFonts w:ascii="Times New Roman" w:hAnsi="Times New Roman" w:eastAsia="宋体"/>
                <w:color w:val="000000"/>
                <w:kern w:val="0"/>
                <w:sz w:val="21"/>
                <w:szCs w:val="21"/>
                <w:lang w:val="en-GB"/>
              </w:rPr>
              <w:t>.</w:t>
            </w:r>
          </w:p>
        </w:tc>
        <w:tc>
          <w:tcPr>
            <w:tcW w:w="1374"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Only the highest score is taken without cumulative scoring. Education levels below high school do not score points.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continue"/>
            <w:tcBorders>
              <w:left w:val="single" w:color="auto" w:sz="4" w:space="0"/>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p>
        </w:tc>
        <w:tc>
          <w:tcPr>
            <w:tcW w:w="38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2</w:t>
            </w:r>
          </w:p>
        </w:tc>
        <w:tc>
          <w:tcPr>
            <w:tcW w:w="8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Technical Capability</w:t>
            </w:r>
          </w:p>
        </w:tc>
        <w:tc>
          <w:tcPr>
            <w:tcW w:w="196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24" w:beforeLines="10" w:after="24" w:afterLines="10"/>
              <w:ind w:firstLine="420" w:firstLineChars="200"/>
              <w:rPr>
                <w:rFonts w:hint="eastAsia" w:ascii="Times New Roman" w:hAnsi="Times New Roman" w:eastAsia="宋体"/>
                <w:color w:val="000000"/>
                <w:kern w:val="0"/>
                <w:sz w:val="21"/>
                <w:szCs w:val="21"/>
                <w:lang w:val="en-GB"/>
              </w:rPr>
            </w:pPr>
            <w:r>
              <w:rPr>
                <w:rFonts w:ascii="Times New Roman" w:hAnsi="Times New Roman" w:eastAsia="宋体"/>
                <w:color w:val="000000"/>
                <w:kern w:val="0"/>
                <w:sz w:val="21"/>
                <w:szCs w:val="21"/>
                <w:lang w:val="en-GB"/>
              </w:rPr>
              <w:t>1. Intermediate or higher professional title, or technician or higher vocational qualification (20 points);</w:t>
            </w:r>
          </w:p>
          <w:p>
            <w:pPr>
              <w:widowControl/>
              <w:spacing w:before="24" w:beforeLines="10" w:after="24" w:afterLines="10"/>
              <w:ind w:firstLine="420" w:firstLineChars="200"/>
              <w:rPr>
                <w:rFonts w:hint="eastAsia" w:ascii="Times New Roman" w:hAnsi="Times New Roman" w:eastAsia="宋体"/>
                <w:color w:val="000000"/>
                <w:kern w:val="0"/>
                <w:sz w:val="21"/>
                <w:szCs w:val="21"/>
                <w:lang w:val="en-GB"/>
              </w:rPr>
            </w:pPr>
            <w:r>
              <w:rPr>
                <w:rFonts w:ascii="Times New Roman" w:hAnsi="Times New Roman" w:eastAsia="宋体"/>
                <w:color w:val="000000"/>
                <w:kern w:val="0"/>
                <w:sz w:val="21"/>
                <w:szCs w:val="21"/>
                <w:lang w:val="en-GB"/>
              </w:rPr>
              <w:t>2. Junior professional title, senior vocational qualification, or level 3 technical worker in public institutions (10 points);</w:t>
            </w:r>
          </w:p>
          <w:p>
            <w:pPr>
              <w:widowControl/>
              <w:spacing w:before="24" w:beforeLines="10" w:after="24" w:afterLines="10"/>
              <w:ind w:firstLine="420" w:firstLineChars="200"/>
              <w:rPr>
                <w:rFonts w:hint="eastAsia" w:ascii="Times New Roman" w:hAnsi="Times New Roman" w:eastAsia="宋体"/>
                <w:color w:val="000000"/>
                <w:kern w:val="0"/>
                <w:sz w:val="21"/>
                <w:szCs w:val="21"/>
                <w:lang w:val="en-GB"/>
              </w:rPr>
            </w:pPr>
            <w:r>
              <w:rPr>
                <w:rFonts w:ascii="Times New Roman" w:hAnsi="Times New Roman" w:eastAsia="宋体"/>
                <w:color w:val="000000"/>
                <w:kern w:val="0"/>
                <w:sz w:val="21"/>
                <w:szCs w:val="21"/>
                <w:lang w:val="en-GB"/>
              </w:rPr>
              <w:t>3. Intermediate vocational qualification or level 4 technical worker in public institutions (5 points);</w:t>
            </w:r>
          </w:p>
          <w:p>
            <w:pPr>
              <w:widowControl/>
              <w:spacing w:before="24" w:beforeLines="10" w:after="24" w:afterLines="10"/>
              <w:ind w:firstLine="420" w:firstLineChars="200"/>
              <w:rPr>
                <w:rFonts w:hint="eastAsia" w:ascii="Times New Roman" w:hAnsi="Times New Roman"/>
                <w:sz w:val="21"/>
                <w:szCs w:val="21"/>
              </w:rPr>
            </w:pPr>
            <w:r>
              <w:rPr>
                <w:rFonts w:ascii="Times New Roman" w:hAnsi="Times New Roman" w:eastAsia="宋体"/>
                <w:color w:val="000000"/>
                <w:kern w:val="0"/>
                <w:sz w:val="21"/>
                <w:szCs w:val="21"/>
                <w:lang w:val="en-GB"/>
              </w:rPr>
              <w:t>4. Working in a profession corresponding to the abovementioned technical or vocational qualifications (5 points).</w:t>
            </w:r>
          </w:p>
        </w:tc>
        <w:tc>
          <w:tcPr>
            <w:tcW w:w="137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Vocational qualifications include occupational skill levels recognized by human resources and social security departments of the State, Guangdong Province, and Guangzhou Municipality. Only the highest score is taken without cumulative scoring.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restart"/>
            <w:tcBorders>
              <w:top w:val="single" w:color="auto" w:sz="4" w:space="0"/>
              <w:left w:val="single" w:color="auto" w:sz="4" w:space="0"/>
              <w:right w:val="single" w:color="auto" w:sz="8" w:space="0"/>
            </w:tcBorders>
            <w:noWrap w:val="0"/>
            <w:tcMar>
              <w:left w:w="108" w:type="dxa"/>
              <w:right w:w="108" w:type="dxa"/>
            </w:tcMar>
            <w:textDirection w:val="tbRl"/>
            <w:vAlign w:val="center"/>
          </w:tcPr>
          <w:p>
            <w:pPr>
              <w:pStyle w:val="3"/>
              <w:widowControl/>
              <w:adjustRightInd w:val="0"/>
              <w:snapToGrid w:val="0"/>
              <w:spacing w:before="24" w:beforeLines="10" w:beforeAutospacing="0" w:after="24" w:afterLines="10" w:afterAutospacing="0"/>
              <w:ind w:left="113" w:right="113"/>
              <w:jc w:val="center"/>
              <w:rPr>
                <w:rFonts w:ascii="Times New Roman" w:hAnsi="Times New Roman"/>
                <w:sz w:val="21"/>
                <w:szCs w:val="21"/>
              </w:rPr>
            </w:pPr>
            <w:r>
              <w:rPr>
                <w:rFonts w:ascii="Times New Roman" w:hAnsi="Times New Roman"/>
                <w:sz w:val="21"/>
                <w:szCs w:val="21"/>
              </w:rPr>
              <w:t>Bonus Indicator</w:t>
            </w:r>
          </w:p>
        </w:tc>
        <w:tc>
          <w:tcPr>
            <w:tcW w:w="388" w:type="pct"/>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3</w:t>
            </w:r>
          </w:p>
        </w:tc>
        <w:tc>
          <w:tcPr>
            <w:tcW w:w="866" w:type="pct"/>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Innovation Capability</w:t>
            </w:r>
          </w:p>
        </w:tc>
        <w:tc>
          <w:tcPr>
            <w:tcW w:w="1968" w:type="pct"/>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Inventors or designers with patents authorized within the past 5 years and registered in Guangzhou:</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Invention patents (20 points per patent divided by the number of inventors, up to 40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Utility model patents (10 points per patent divided by the number of inventors, up to a maximum of 20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2. Applicants working in high-tech enterprises or new R&amp;D institutions in Guangzhou for technological innovation and research and development (2 points per full year, up to 10 points).</w:t>
            </w:r>
          </w:p>
        </w:tc>
        <w:tc>
          <w:tcPr>
            <w:tcW w:w="1374" w:type="pct"/>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No points will be given for changes in inventors or designers after patent authorization, or for patents relocated outside Guangzhou. Points can be accumulated if both conditions 1 and 2 are simultaneously met.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continue"/>
            <w:tcBorders>
              <w:left w:val="single" w:color="auto" w:sz="4" w:space="0"/>
              <w:right w:val="single" w:color="auto" w:sz="8" w:space="0"/>
            </w:tcBorders>
            <w:noWrap w:val="0"/>
            <w:tcMar>
              <w:left w:w="108" w:type="dxa"/>
              <w:right w:w="108" w:type="dxa"/>
            </w:tcMar>
            <w:vAlign w:val="center"/>
          </w:tcPr>
          <w:p>
            <w:pPr>
              <w:widowControl/>
              <w:adjustRightInd w:val="0"/>
              <w:snapToGrid w:val="0"/>
              <w:spacing w:before="24" w:beforeLines="10" w:after="24" w:afterLines="10"/>
              <w:rPr>
                <w:rFonts w:ascii="Times New Roman" w:hAnsi="Times New Roman"/>
                <w:sz w:val="21"/>
                <w:szCs w:val="21"/>
              </w:rPr>
            </w:pPr>
          </w:p>
        </w:tc>
        <w:tc>
          <w:tcPr>
            <w:tcW w:w="388"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4</w:t>
            </w:r>
          </w:p>
        </w:tc>
        <w:tc>
          <w:tcPr>
            <w:tcW w:w="866"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Urgently-needed Occupations or Vocational Qualifications, Service Industry</w:t>
            </w:r>
          </w:p>
        </w:tc>
        <w:tc>
          <w:tcPr>
            <w:tcW w:w="1968"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Occupations or qualifications covered in Guangzhou urgently-needed occupation or professional title list for the current year (10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2. Working in special and arduous front-line industries (10 points). An additional 5 points for each full year of service, up to an extra 20 points.</w:t>
            </w:r>
          </w:p>
        </w:tc>
        <w:tc>
          <w:tcPr>
            <w:tcW w:w="1374" w:type="pct"/>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ascii="Times New Roman" w:hAnsi="Times New Roman"/>
                <w:sz w:val="21"/>
                <w:szCs w:val="21"/>
              </w:rPr>
            </w:pPr>
            <w:r>
              <w:rPr>
                <w:rFonts w:ascii="Times New Roman" w:hAnsi="Times New Roman"/>
                <w:sz w:val="21"/>
                <w:szCs w:val="21"/>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continue"/>
            <w:tcBorders>
              <w:left w:val="single" w:color="auto" w:sz="4" w:space="0"/>
              <w:right w:val="single" w:color="auto" w:sz="8" w:space="0"/>
            </w:tcBorders>
            <w:noWrap w:val="0"/>
            <w:tcMar>
              <w:left w:w="108" w:type="dxa"/>
              <w:right w:w="108" w:type="dxa"/>
            </w:tcMar>
            <w:vAlign w:val="center"/>
          </w:tcPr>
          <w:p>
            <w:pPr>
              <w:widowControl/>
              <w:adjustRightInd w:val="0"/>
              <w:snapToGrid w:val="0"/>
              <w:spacing w:before="24" w:beforeLines="10" w:after="24" w:afterLines="10"/>
              <w:rPr>
                <w:rFonts w:ascii="Times New Roman" w:hAnsi="Times New Roman"/>
                <w:sz w:val="21"/>
                <w:szCs w:val="21"/>
              </w:rPr>
            </w:pPr>
          </w:p>
        </w:tc>
        <w:tc>
          <w:tcPr>
            <w:tcW w:w="388"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5</w:t>
            </w:r>
          </w:p>
        </w:tc>
        <w:tc>
          <w:tcPr>
            <w:tcW w:w="866"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Social Service and Public Welfare</w:t>
            </w:r>
          </w:p>
        </w:tc>
        <w:tc>
          <w:tcPr>
            <w:tcW w:w="1968"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Blood donation within the past 5 years (2 points per donation, up to 10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2. Volunteer service within the past 5 years (2 points for every 50 hours of service, up to 2 points per year, with a cumulative maximum of 10 points).</w:t>
            </w:r>
          </w:p>
        </w:tc>
        <w:tc>
          <w:tcPr>
            <w:tcW w:w="1374" w:type="pct"/>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ascii="Times New Roman" w:hAnsi="Times New Roman"/>
                <w:sz w:val="21"/>
                <w:szCs w:val="21"/>
              </w:rPr>
            </w:pPr>
            <w:r>
              <w:rPr>
                <w:rFonts w:ascii="Times New Roman" w:hAnsi="Times New Roman"/>
                <w:sz w:val="21"/>
                <w:szCs w:val="21"/>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00" w:type="pct"/>
            <w:vMerge w:val="continue"/>
            <w:tcBorders>
              <w:left w:val="single" w:color="auto" w:sz="4" w:space="0"/>
              <w:bottom w:val="single" w:color="auto" w:sz="4" w:space="0"/>
              <w:right w:val="single" w:color="auto" w:sz="8" w:space="0"/>
            </w:tcBorders>
            <w:noWrap w:val="0"/>
            <w:tcMar>
              <w:left w:w="108" w:type="dxa"/>
              <w:right w:w="108" w:type="dxa"/>
            </w:tcMar>
            <w:vAlign w:val="center"/>
          </w:tcPr>
          <w:p>
            <w:pPr>
              <w:widowControl/>
              <w:adjustRightInd w:val="0"/>
              <w:snapToGrid w:val="0"/>
              <w:spacing w:before="24" w:beforeLines="10" w:after="24" w:afterLines="10"/>
              <w:rPr>
                <w:rFonts w:ascii="Times New Roman" w:hAnsi="Times New Roman"/>
                <w:sz w:val="21"/>
                <w:szCs w:val="21"/>
              </w:rPr>
            </w:pPr>
          </w:p>
        </w:tc>
        <w:tc>
          <w:tcPr>
            <w:tcW w:w="38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6</w:t>
            </w:r>
          </w:p>
        </w:tc>
        <w:tc>
          <w:tcPr>
            <w:tcW w:w="8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Tax Payment</w:t>
            </w:r>
          </w:p>
        </w:tc>
        <w:tc>
          <w:tcPr>
            <w:tcW w:w="1968"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ascii="Times New Roman" w:hAnsi="Times New Roman"/>
                <w:sz w:val="21"/>
                <w:szCs w:val="21"/>
              </w:rPr>
            </w:pPr>
            <w:r>
              <w:rPr>
                <w:rFonts w:ascii="Times New Roman" w:hAnsi="Times New Roman"/>
                <w:sz w:val="21"/>
                <w:szCs w:val="21"/>
              </w:rPr>
              <w:t>1. For ordinary workers,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Cumulative personal income tax payments in Guangzhou over the past three tax years: RMB 10,000 to 29,999 (4 points); RMB 30,000 to 59,999 (8 points); RMB 60,000 and above (12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(2) Continuous annual declaration and payment of comprehensive income (including wages and salaries, labor remuneration, author's remuneration, and royalties) or business income tax over the past three tax years (4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(3) Completion of annual declaration and settlement of personal income tax (including tax payment) for the past tax year (2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2. For business investors, cumulative corporate tax payments in Guangzhou over the past three tax years: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 RMB 50,000 to 99,999 (4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 RMB 100,000 to 199,999 (8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 RMB 200,000 and above (12 points)</w:t>
            </w:r>
          </w:p>
        </w:tc>
        <w:tc>
          <w:tcPr>
            <w:tcW w:w="1374"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A tax year refers to the period from January 1 to December 31 of that year.</w:t>
            </w:r>
          </w:p>
          <w:p>
            <w:pPr>
              <w:pStyle w:val="3"/>
              <w:widowControl/>
              <w:adjustRightInd w:val="0"/>
              <w:snapToGrid w:val="0"/>
              <w:spacing w:before="24" w:beforeLines="10" w:beforeAutospacing="0" w:after="24" w:afterLines="10" w:afterAutospacing="0"/>
              <w:ind w:firstLine="420" w:firstLineChars="200"/>
              <w:jc w:val="both"/>
              <w:rPr>
                <w:rFonts w:ascii="Times New Roman" w:hAnsi="Times New Roman"/>
                <w:sz w:val="21"/>
                <w:szCs w:val="21"/>
              </w:rPr>
            </w:pPr>
            <w:r>
              <w:rPr>
                <w:rFonts w:ascii="Times New Roman" w:hAnsi="Times New Roman"/>
                <w:sz w:val="21"/>
                <w:szCs w:val="21"/>
              </w:rPr>
              <w:t>2. Points can be accumulated if both conditions 1 and 2 are simultaneously met.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0" w:hRule="atLeast"/>
          <w:jc w:val="center"/>
        </w:trPr>
        <w:tc>
          <w:tcPr>
            <w:tcW w:w="400" w:type="pct"/>
            <w:tcBorders>
              <w:top w:val="single" w:color="auto" w:sz="4" w:space="0"/>
              <w:left w:val="single" w:color="auto" w:sz="4" w:space="0"/>
              <w:bottom w:val="single" w:color="auto" w:sz="4" w:space="0"/>
              <w:right w:val="single" w:color="auto" w:sz="8" w:space="0"/>
            </w:tcBorders>
            <w:noWrap w:val="0"/>
            <w:tcMar>
              <w:left w:w="108" w:type="dxa"/>
              <w:right w:w="108" w:type="dxa"/>
            </w:tcMar>
            <w:textDirection w:val="tbRl"/>
            <w:vAlign w:val="center"/>
          </w:tcPr>
          <w:p>
            <w:pPr>
              <w:pStyle w:val="3"/>
              <w:widowControl/>
              <w:adjustRightInd w:val="0"/>
              <w:snapToGrid w:val="0"/>
              <w:spacing w:before="24" w:beforeLines="10" w:beforeAutospacing="0" w:after="24" w:afterLines="10" w:afterAutospacing="0"/>
              <w:ind w:left="113" w:right="113"/>
              <w:jc w:val="center"/>
              <w:rPr>
                <w:rFonts w:ascii="Times New Roman" w:hAnsi="Times New Roman"/>
                <w:sz w:val="21"/>
                <w:szCs w:val="21"/>
              </w:rPr>
            </w:pPr>
            <w:r>
              <w:rPr>
                <w:rFonts w:ascii="Times New Roman" w:hAnsi="Times New Roman"/>
                <w:sz w:val="21"/>
                <w:szCs w:val="21"/>
              </w:rPr>
              <w:t>Bonus Indicator</w:t>
            </w:r>
          </w:p>
        </w:tc>
        <w:tc>
          <w:tcPr>
            <w:tcW w:w="388" w:type="pct"/>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ascii="Times New Roman" w:hAnsi="Times New Roman"/>
                <w:sz w:val="21"/>
                <w:szCs w:val="21"/>
              </w:rPr>
            </w:pPr>
            <w:r>
              <w:rPr>
                <w:rFonts w:ascii="Times New Roman" w:hAnsi="Times New Roman"/>
                <w:sz w:val="21"/>
                <w:szCs w:val="21"/>
              </w:rPr>
              <w:t>7</w:t>
            </w:r>
          </w:p>
        </w:tc>
        <w:tc>
          <w:tcPr>
            <w:tcW w:w="866" w:type="pct"/>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jc w:val="center"/>
              <w:rPr>
                <w:rFonts w:hint="eastAsia" w:ascii="Times New Roman" w:hAnsi="Times New Roman"/>
                <w:sz w:val="21"/>
                <w:szCs w:val="21"/>
              </w:rPr>
            </w:pPr>
            <w:r>
              <w:rPr>
                <w:rFonts w:ascii="Times New Roman" w:hAnsi="Times New Roman"/>
                <w:sz w:val="21"/>
                <w:szCs w:val="21"/>
              </w:rPr>
              <w:t>Commendations and Awards</w:t>
            </w:r>
          </w:p>
        </w:tc>
        <w:tc>
          <w:tcPr>
            <w:tcW w:w="1968" w:type="pct"/>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Awards and honors from the CPC Central Committee or the State Council (30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2. Honors, such as Model Workers and Exemplary Individuals, from the CPC Guangdong Provincial Committee, Guangdong Provincial People’s Government, or central and state ministries (20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3. Awards and honors from the CPC Guangzhou Municipal Committee and Guangzhou Municipal People’s Government (10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4. Awards and honors from Guangzhou’s municipal departments, CPC District Committee and district governments (5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5. Honors from the Central Military Commission (30 points).</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6. First-class merit (20 points for the first time, with an additional 5 points for each subsequent award); second-class merit (10 points for the first time, with an additional 2 points for each subsequent award); third-class merit (5 points for the first time, with an additional 1 point for each subsequent award).</w:t>
            </w:r>
          </w:p>
        </w:tc>
        <w:tc>
          <w:tcPr>
            <w:tcW w:w="1374" w:type="pct"/>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1. Only awards received while working in Guangzhou are counted.</w:t>
            </w:r>
          </w:p>
          <w:p>
            <w:pPr>
              <w:pStyle w:val="3"/>
              <w:widowControl/>
              <w:adjustRightInd w:val="0"/>
              <w:snapToGrid w:val="0"/>
              <w:spacing w:before="24" w:beforeLines="10" w:beforeAutospacing="0" w:after="24" w:afterLines="10" w:afterAutospacing="0"/>
              <w:ind w:firstLine="420" w:firstLineChars="200"/>
              <w:jc w:val="both"/>
              <w:rPr>
                <w:rFonts w:hint="eastAsia" w:ascii="Times New Roman" w:hAnsi="Times New Roman"/>
                <w:sz w:val="21"/>
                <w:szCs w:val="21"/>
              </w:rPr>
            </w:pPr>
            <w:r>
              <w:rPr>
                <w:rFonts w:ascii="Times New Roman" w:hAnsi="Times New Roman"/>
                <w:sz w:val="21"/>
                <w:szCs w:val="21"/>
              </w:rPr>
              <w:t>2. For the same award, only the highest score is counted; different awards can be accumulated for scoring.</w:t>
            </w:r>
          </w:p>
          <w:p>
            <w:pPr>
              <w:pStyle w:val="3"/>
              <w:widowControl/>
              <w:adjustRightInd w:val="0"/>
              <w:snapToGrid w:val="0"/>
              <w:spacing w:before="24" w:beforeLines="10" w:beforeAutospacing="0" w:after="24" w:afterLines="10" w:afterAutospacing="0"/>
              <w:ind w:firstLine="420" w:firstLineChars="200"/>
              <w:jc w:val="both"/>
              <w:rPr>
                <w:rFonts w:ascii="Times New Roman" w:hAnsi="Times New Roman"/>
                <w:sz w:val="21"/>
                <w:szCs w:val="21"/>
              </w:rPr>
            </w:pPr>
            <w:r>
              <w:rPr>
                <w:rFonts w:ascii="Times New Roman" w:hAnsi="Times New Roman"/>
                <w:sz w:val="21"/>
                <w:szCs w:val="21"/>
              </w:rPr>
              <w:t>3. Awards received during military service (indicators 5-6) are not subject to the above limitations.</w:t>
            </w:r>
          </w:p>
        </w:tc>
      </w:tr>
    </w:tbl>
    <w:p>
      <w:pPr>
        <w:widowControl/>
        <w:autoSpaceDE w:val="0"/>
        <w:autoSpaceDN w:val="0"/>
        <w:adjustRightInd w:val="0"/>
        <w:snapToGrid w:val="0"/>
        <w:spacing w:before="72" w:beforeLines="30" w:after="72" w:afterLines="30"/>
        <w:rPr>
          <w:rFonts w:ascii="Times New Roman" w:hAnsi="Times New Roman" w:eastAsia="黑体"/>
          <w:sz w:val="24"/>
          <w:szCs w:val="24"/>
        </w:rPr>
      </w:pPr>
    </w:p>
    <w:p>
      <w:pPr>
        <w:pStyle w:val="2"/>
        <w:widowControl/>
        <w:spacing w:before="72" w:beforeLines="30" w:after="72" w:afterLines="30"/>
        <w:rPr>
          <w:rFonts w:hint="eastAsia" w:ascii="Times New Roman" w:hAnsi="Times New Roman"/>
          <w:snapToGrid/>
          <w:spacing w:val="0"/>
          <w:kern w:val="0"/>
          <w:sz w:val="24"/>
          <w:szCs w:val="24"/>
        </w:rPr>
      </w:pPr>
      <w:r>
        <w:rPr>
          <w:rFonts w:ascii="Times New Roman" w:hAnsi="Times New Roman"/>
          <w:snapToGrid/>
          <w:spacing w:val="0"/>
          <w:kern w:val="0"/>
          <w:sz w:val="24"/>
          <w:szCs w:val="24"/>
        </w:rPr>
        <w:t>Note: Where higher-level policies change, the rubric for the points-based enrollment will be adjusted according to the latest policies of that year.</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2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仿宋_GB2312" w:eastAsia="仿宋_GB2312" w:cs="Times New Roman"/>
      <w:snapToGrid w:val="0"/>
      <w:spacing w:val="6"/>
      <w:kern w:val="2"/>
      <w:sz w:val="30"/>
      <w:szCs w:val="3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2025-05-28T09:18:32Z</dcterms:created>
  <dc:creator>Administrator</dc:creator>
  <cp:lastModifiedBy>局教育信息发展中心</cp:lastModifiedBy>
  <dcterms:modified xsi:type="dcterms:W3CDTF">2025-05-28T09:20:05Z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63B84C9B58624FA49C83AF17F013A89D</vt:lpwstr>
  </property>
</Properties>
</file>