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广州翔隆饰品有限公司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91440101MA59PMY15G</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广州市白云区白云湖街唐阁南路东自编9号二栋二楼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1月23日，经我局执法监察大队执法人员现场检查发现当事人在广州市白云区白云湖街唐阁南路东自编9号二栋二楼建成一个仿珍珠生产项目（属于《建设项目环境影响评价分类管理名录》中十三、32工艺品制造），于2017年8月在现址建成投产。该项目占地面积约1600平方米,主要设备有串珠机6台、抛光机8台、分珠机1台、空压机1台、喷漆房1个，投资额50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我局于2018年6月1日向当事人送达《环境保护行政处罚告知书》（云环保告[2018]SA474号），当事人在规定时间内未向我局提出陈述申辩。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我局现根据《中华人民共和国环境影响评价法》第三十一条第一款的规定，责令当事人立即停止违法行为，依法报批建设项目环境影响报告表，并对其作出以下处罚：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罚款贰万伍仟元整。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抄送：区政府、市环保局、区法院、局执法监察大队、局建设项目管理科、白云湖街环保办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4DB524E"/>
    <w:rsid w:val="25AD1DE4"/>
    <w:rsid w:val="25B825F2"/>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EB6E12"/>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86817FE"/>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AC215EA"/>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4539A"/>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