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广州市欧橡隔热材料有限公司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91440111757757160E</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广州市白云区神山镇南浦南街9号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在广州市白云区神山镇南浦南街9号建成一个隔热材料项目，于2003年10月在现址正式投入生产，占地面积约1000平方米，已取得环评审批、验收手续。2018年5月21日，经我局执法监察大队执法人员现场检查发现当事人现占地面积10000平方米，有密炼机增加到5台、开片机增加到5台、此外新增烘房1个、雕刻机4台。经核对当事人取得的环评批复（云府环保建字[2008]111号），当事人新增密炼机2台、开片机2台、烘房1个、雕刻机4台。新增部分未重新报批环境影响评价文件并办理建设项目竣工环保验收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708号），当事人在规定时间内向我局提出陈述申辩称“1.我司为2003年12月25日成立，而不是2003年10月在现址正式投入生产。2.我司在环评时占地面积为5540平方米，而不是1000平方米。后在2009年时起了一栋员工宿舍楼及办公楼，生产车间厂房面积未增加。3.设备方面：由于以前空调配件生产加工产品的内、外圆时，使用较为陈旧的锯床设备，噪音较大，加工精度不够，加工速度慢，为响应政府技改号召，我们将锯床改为全自动雕刻机以降低产品加工时的噪音，提高产品的精度，提高产品的加工效率，我们认为使用雕刻机而不用锯床，不属于新增产能设备，敬请贵处一定考虑此点，否则要我们用回旧设备，旧工艺，旧机器，是逆时代潮流，不使用雕刻机我们很难有效组织生产。4.烘房1个：烘房为使用蒸汽将不够厚度的产品进行物理加热主要目的是增加产品的厚度，提高产品的厚度利用率，是属于技术改造上的一种新工艺，不属于新增产能设备。5.密炼机新增2台，开片机新增2台：主要是我们给大型厂家，如格力，美的，海尔等空调配套，是不允许我们断供货的，为了防止由于生产加工设备的故障引起供货不及时，所以我们增加密炼机2台，开片机2台以作备用。如果贵处不同意，我司可撤出相关备用设备密炼机及开片机。综上所述，我司在技术改造时未通知贵处，在此表示深深的歉意，我们希望贵处给予我们改正的机会，为白云区的经济发展作出微薄贡献。”我局经研究，认为当事人存在新增部分“未验收先投产”环境违法行为，决定对该陈述申辩不予采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一、停止新增部分的生产；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当事人应自收到本处罚决定书之日起，停止上述新增部分的生产。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901C51"/>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644711"/>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