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741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2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广州市发爵士精细化工有限公司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91440111698655833E</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广州市白云区钟落潭镇金盆村金盆中路自编18号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27日，经我局执法监察大队执法人员现场检查发现当事人在广州市白云区钟落潭镇金盆村金盆中路自编18号建成一个护发素和染膏生产项目（属于《建设项目环境影响评价分类管理名录》中十五、39日用化学品制造），于2013年7月在现址建成投产。该项目占地面积约5000平方米,主要设备有乳化锅8台、灌装机4台、纯水机4台、空压机1台，投资额约80万元，主要生产工艺为原料—搅拌—乳化—灌装—成品，生产过程中有废水、噪声产生，其中废水经污水处理设施处理后排放，噪声直接排放。当事人已取得建设项目环境影响报告表的批复，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我局于2018年5月29日向当事人送达《环境保护行政处罚听证告知书》（云环保告[2018]SA634号），当事人在规定时间内未向我局提出陈述申辩或听证申请。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一、停止护发素和染膏生产项目生产；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当事人应自收到本处罚决定书之日起，停止上述护发素和染膏生产项目生产。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2D974E4"/>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A74D0F"/>
    <w:rsid w:val="0BB116C8"/>
    <w:rsid w:val="0C2940C6"/>
    <w:rsid w:val="0C75148A"/>
    <w:rsid w:val="0CE64E01"/>
    <w:rsid w:val="0CE92620"/>
    <w:rsid w:val="0D4369B0"/>
    <w:rsid w:val="0DBE389E"/>
    <w:rsid w:val="0E6D1E96"/>
    <w:rsid w:val="0EF65861"/>
    <w:rsid w:val="0F5D1DA6"/>
    <w:rsid w:val="0F7C4E3A"/>
    <w:rsid w:val="0FD41D29"/>
    <w:rsid w:val="0FF9732B"/>
    <w:rsid w:val="105A0283"/>
    <w:rsid w:val="108E0A88"/>
    <w:rsid w:val="10BC179E"/>
    <w:rsid w:val="112D0054"/>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7F1D6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ABB2D09"/>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4A291B"/>
    <w:rsid w:val="5B871A69"/>
    <w:rsid w:val="5B8E15FE"/>
    <w:rsid w:val="5B9A46F8"/>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AF5366"/>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52B5F"/>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