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797</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广州市恒宏生态建材有限公司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91440101MA59P7878X</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广州市白云区新鹤草路7号鹤亭第一工业区E栋</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17日，经我局执法监察大队执法人员现场检查发现当事人在广州市白云区新鹤草路7号鹤亭第一工业区E栋建成一个水磨石生产项目（属于《建设项目环境影响评价分类管理名录》中十九、51石灰和石膏制造、石材加工、人造石制造、砖瓦制造），于2018年3月在现址投入建设，厂房已有生产设备，尚未投产。该项目占地面积约1000平方米,该项目主要设备有切割机5台、打磨机2台、成型机1台、空压机1台，投资额50万元，当事人建设项目的环境影响评价文件未依法经审批部门审查擅自开工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我局于2018年6月28日向当事人送达《环境保护行政处罚听证告知书》（云环保告[2018]SA736号），当事人在规定时间内未向我局提出陈述申辩或听证申请。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我局现根据《中华人民共和国环境影响评价法》第三十一条第二款的规定，责令当事人立即停止违法行为，依法报批建设项目环境影响评价文件，并对其作出以下处罚：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罚款贰万伍仟元整。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抄送：区政府、市环保局、区法院、局执法监察大队、局建设项目管理科、人和镇环安办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45AF3"/>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ECF1959"/>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EDB3380"/>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2018-07-16T07:30:54Z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