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附件5</w:t>
      </w:r>
    </w:p>
    <w:p>
      <w:pPr>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代理机构选定办法</w:t>
      </w:r>
    </w:p>
    <w:p>
      <w:pPr>
        <w:ind w:firstLine="643" w:firstLineChars="200"/>
        <w:rPr>
          <w:rFonts w:hint="eastAsia" w:ascii="黑体" w:hAnsi="黑体" w:eastAsia="黑体" w:cs="黑体"/>
          <w:sz w:val="32"/>
          <w:szCs w:val="32"/>
        </w:rPr>
      </w:pPr>
      <w:r>
        <w:rPr>
          <w:rFonts w:hint="eastAsia" w:ascii="黑体" w:hAnsi="黑体" w:eastAsia="黑体" w:cs="黑体"/>
          <w:b/>
          <w:sz w:val="32"/>
          <w:szCs w:val="32"/>
          <w:lang w:val="en-US" w:eastAsia="zh-CN"/>
        </w:rPr>
        <w:t>一、评选</w:t>
      </w:r>
      <w:r>
        <w:rPr>
          <w:rFonts w:hint="eastAsia" w:ascii="黑体" w:hAnsi="黑体" w:eastAsia="黑体" w:cs="黑体"/>
          <w:b/>
          <w:sz w:val="32"/>
          <w:szCs w:val="32"/>
        </w:rPr>
        <w:t>方法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本次代理机构评选采取</w:t>
      </w:r>
      <w:r>
        <w:rPr>
          <w:rFonts w:hint="default" w:ascii="Times New Roman" w:hAnsi="Times New Roman" w:eastAsia="仿宋_GB2312" w:cs="Times New Roman"/>
          <w:sz w:val="32"/>
          <w:szCs w:val="32"/>
        </w:rPr>
        <w:t>综合评分法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参加评选的代理机构需</w:t>
      </w:r>
      <w:r>
        <w:rPr>
          <w:rFonts w:hint="default" w:ascii="Times New Roman" w:hAnsi="Times New Roman" w:eastAsia="仿宋_GB2312" w:cs="Times New Roman"/>
          <w:sz w:val="32"/>
          <w:szCs w:val="32"/>
        </w:rPr>
        <w:t>满足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白云湖街关于选取海苑社区公办托育机构第三方运营项目招标代理机构的公告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全部实质性要求，且按照评审因素的量化指标评审得分最高的</w:t>
      </w:r>
      <w:r>
        <w:rPr>
          <w:rFonts w:hint="default" w:ascii="Times New Roman" w:hAnsi="Times New Roman" w:eastAsia="仿宋_GB2312" w:cs="Times New Roman"/>
          <w:sz w:val="32"/>
          <w:szCs w:val="32"/>
          <w:lang w:val="en-US" w:eastAsia="zh-CN"/>
        </w:rPr>
        <w:t>候选机构</w:t>
      </w:r>
      <w:r>
        <w:rPr>
          <w:rFonts w:hint="default" w:ascii="Times New Roman" w:hAnsi="Times New Roman" w:eastAsia="仿宋_GB2312" w:cs="Times New Roman"/>
          <w:sz w:val="32"/>
          <w:szCs w:val="32"/>
        </w:rPr>
        <w:t>为的评标方法。</w:t>
      </w:r>
    </w:p>
    <w:p>
      <w:pPr>
        <w:ind w:firstLine="643" w:firstLineChars="200"/>
        <w:rPr>
          <w:rFonts w:hint="eastAsia" w:ascii="黑体" w:hAnsi="黑体" w:eastAsia="黑体" w:cs="黑体"/>
          <w:sz w:val="32"/>
          <w:szCs w:val="32"/>
        </w:rPr>
      </w:pPr>
      <w:r>
        <w:rPr>
          <w:rFonts w:hint="eastAsia" w:ascii="黑体" w:hAnsi="黑体" w:eastAsia="黑体" w:cs="黑体"/>
          <w:b/>
          <w:sz w:val="32"/>
          <w:szCs w:val="32"/>
          <w:lang w:val="en-US" w:eastAsia="zh-CN"/>
        </w:rPr>
        <w:t>二、</w:t>
      </w:r>
      <w:r>
        <w:rPr>
          <w:rFonts w:hint="eastAsia" w:ascii="黑体" w:hAnsi="黑体" w:eastAsia="黑体" w:cs="黑体"/>
          <w:b/>
          <w:sz w:val="32"/>
          <w:szCs w:val="32"/>
        </w:rPr>
        <w:t>评标原则</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评标活动遵循公平、公正、科学和择优的原则，以招标文件和投标文件为评标的基本依据，并按照招标文件规定的评标方法和评标标准进行评标。</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具体评标事项由</w:t>
      </w:r>
      <w:r>
        <w:rPr>
          <w:rFonts w:hint="default" w:ascii="Times New Roman" w:hAnsi="Times New Roman" w:eastAsia="仿宋_GB2312" w:cs="Times New Roman"/>
          <w:sz w:val="32"/>
          <w:szCs w:val="32"/>
          <w:lang w:val="en-US" w:eastAsia="zh-CN"/>
        </w:rPr>
        <w:t>白云湖街公共服务办</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val="en-US" w:eastAsia="zh-CN"/>
        </w:rPr>
        <w:t>评选结果由街道会议研究审定</w:t>
      </w:r>
      <w:r>
        <w:rPr>
          <w:rFonts w:hint="default" w:ascii="Times New Roman" w:hAnsi="Times New Roman" w:eastAsia="仿宋_GB2312" w:cs="Times New Roman"/>
          <w:sz w:val="32"/>
          <w:szCs w:val="32"/>
        </w:rPr>
        <w:t>。</w:t>
      </w:r>
    </w:p>
    <w:p>
      <w:pPr>
        <w:ind w:firstLine="643" w:firstLineChars="20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三、</w:t>
      </w:r>
      <w:r>
        <w:rPr>
          <w:rFonts w:hint="eastAsia" w:ascii="黑体" w:hAnsi="黑体" w:eastAsia="黑体" w:cs="黑体"/>
          <w:b/>
          <w:sz w:val="32"/>
          <w:szCs w:val="32"/>
        </w:rPr>
        <w:t>资格性审查</w:t>
      </w:r>
      <w:r>
        <w:rPr>
          <w:rFonts w:hint="eastAsia" w:ascii="黑体" w:hAnsi="黑体" w:eastAsia="黑体" w:cs="黑体"/>
          <w:b/>
          <w:sz w:val="32"/>
          <w:szCs w:val="32"/>
          <w:lang w:val="en-US" w:eastAsia="zh-CN"/>
        </w:rPr>
        <w:t>及</w:t>
      </w:r>
      <w:r>
        <w:rPr>
          <w:rFonts w:hint="eastAsia" w:ascii="黑体" w:hAnsi="黑体" w:eastAsia="黑体" w:cs="黑体"/>
          <w:b/>
          <w:sz w:val="32"/>
          <w:szCs w:val="32"/>
        </w:rPr>
        <w:t>详细评审</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资格性审查。</w:t>
      </w:r>
      <w:r>
        <w:rPr>
          <w:rFonts w:hint="default" w:ascii="Times New Roman" w:hAnsi="Times New Roman" w:eastAsia="仿宋_GB2312" w:cs="Times New Roman"/>
          <w:sz w:val="32"/>
          <w:szCs w:val="32"/>
          <w:lang w:val="en-US" w:eastAsia="zh-CN"/>
        </w:rPr>
        <w:t>报名时间</w:t>
      </w:r>
      <w:r>
        <w:rPr>
          <w:rFonts w:hint="default" w:ascii="Times New Roman" w:hAnsi="Times New Roman" w:eastAsia="仿宋_GB2312" w:cs="Times New Roman"/>
          <w:sz w:val="32"/>
          <w:szCs w:val="32"/>
        </w:rPr>
        <w:t>结束后，</w:t>
      </w:r>
      <w:r>
        <w:rPr>
          <w:rFonts w:hint="default" w:ascii="Times New Roman" w:hAnsi="Times New Roman" w:eastAsia="仿宋_GB2312" w:cs="Times New Roman"/>
          <w:sz w:val="32"/>
          <w:szCs w:val="32"/>
          <w:lang w:val="en-US" w:eastAsia="zh-CN"/>
        </w:rPr>
        <w:t>由白云湖街公共服务办根据《报名单位提交资料一览表》</w:t>
      </w:r>
      <w:r>
        <w:rPr>
          <w:rFonts w:hint="default" w:ascii="Times New Roman" w:hAnsi="Times New Roman" w:eastAsia="仿宋_GB2312" w:cs="Times New Roman"/>
          <w:sz w:val="32"/>
          <w:szCs w:val="32"/>
        </w:rPr>
        <w:t>（详见后附表一）对</w:t>
      </w:r>
      <w:r>
        <w:rPr>
          <w:rFonts w:hint="default" w:ascii="Times New Roman" w:hAnsi="Times New Roman" w:eastAsia="仿宋_GB2312" w:cs="Times New Roman"/>
          <w:sz w:val="32"/>
          <w:szCs w:val="32"/>
          <w:lang w:val="en-US" w:eastAsia="zh-CN"/>
        </w:rPr>
        <w:t>递交资料竞选的机构进行</w:t>
      </w:r>
      <w:r>
        <w:rPr>
          <w:rFonts w:hint="default" w:ascii="Times New Roman" w:hAnsi="Times New Roman" w:eastAsia="仿宋_GB2312" w:cs="Times New Roman"/>
          <w:sz w:val="32"/>
          <w:szCs w:val="32"/>
        </w:rPr>
        <w:t>资格审查，以确定</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是否具备</w:t>
      </w:r>
      <w:r>
        <w:rPr>
          <w:rFonts w:hint="default" w:ascii="Times New Roman" w:hAnsi="Times New Roman" w:eastAsia="仿宋_GB2312" w:cs="Times New Roman"/>
          <w:sz w:val="32"/>
          <w:szCs w:val="32"/>
          <w:lang w:val="en-US" w:eastAsia="zh-CN"/>
        </w:rPr>
        <w:t>竞选</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val="en-US" w:eastAsia="zh-CN"/>
        </w:rPr>
        <w:t>资格性</w:t>
      </w:r>
      <w:r>
        <w:rPr>
          <w:rFonts w:hint="default" w:ascii="Times New Roman" w:hAnsi="Times New Roman" w:eastAsia="仿宋_GB2312" w:cs="Times New Roman"/>
          <w:sz w:val="32"/>
          <w:szCs w:val="32"/>
        </w:rPr>
        <w:t>审查中凡有其中任意一项未通过的，</w:t>
      </w:r>
      <w:r>
        <w:rPr>
          <w:rFonts w:hint="default" w:ascii="Times New Roman" w:hAnsi="Times New Roman" w:eastAsia="仿宋_GB2312" w:cs="Times New Roman"/>
          <w:sz w:val="32"/>
          <w:szCs w:val="32"/>
          <w:lang w:val="en-US" w:eastAsia="zh-CN"/>
        </w:rPr>
        <w:t>则</w:t>
      </w:r>
      <w:r>
        <w:rPr>
          <w:rFonts w:hint="default" w:ascii="Times New Roman" w:hAnsi="Times New Roman" w:eastAsia="仿宋_GB2312" w:cs="Times New Roman"/>
          <w:sz w:val="32"/>
          <w:szCs w:val="32"/>
        </w:rPr>
        <w:t>评审结果为未通过，按无效</w:t>
      </w:r>
      <w:r>
        <w:rPr>
          <w:rFonts w:hint="default" w:ascii="Times New Roman" w:hAnsi="Times New Roman" w:eastAsia="仿宋_GB2312" w:cs="Times New Roman"/>
          <w:sz w:val="32"/>
          <w:szCs w:val="32"/>
          <w:lang w:val="en-US" w:eastAsia="zh-CN"/>
        </w:rPr>
        <w:t>竞选</w:t>
      </w:r>
      <w:r>
        <w:rPr>
          <w:rFonts w:hint="default" w:ascii="Times New Roman" w:hAnsi="Times New Roman" w:eastAsia="仿宋_GB2312" w:cs="Times New Roman"/>
          <w:sz w:val="32"/>
          <w:szCs w:val="32"/>
        </w:rPr>
        <w:t>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不再参加</w:t>
      </w:r>
      <w:r>
        <w:rPr>
          <w:rFonts w:hint="default" w:ascii="Times New Roman" w:hAnsi="Times New Roman" w:eastAsia="仿宋_GB2312" w:cs="Times New Roman"/>
          <w:sz w:val="32"/>
          <w:szCs w:val="32"/>
        </w:rPr>
        <w:t>详细评审</w:t>
      </w:r>
      <w:r>
        <w:rPr>
          <w:rFonts w:hint="default" w:ascii="Times New Roman" w:hAnsi="Times New Roman" w:eastAsia="仿宋_GB2312" w:cs="Times New Roman"/>
          <w:sz w:val="32"/>
          <w:szCs w:val="32"/>
          <w:lang w:val="en-US" w:eastAsia="zh-CN"/>
        </w:rPr>
        <w:t>环节。</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详细评审。</w:t>
      </w:r>
      <w:r>
        <w:rPr>
          <w:rFonts w:hint="default" w:ascii="Times New Roman" w:hAnsi="Times New Roman" w:eastAsia="仿宋_GB2312" w:cs="Times New Roman"/>
          <w:sz w:val="32"/>
          <w:szCs w:val="32"/>
          <w:lang w:val="en-US" w:eastAsia="zh-CN"/>
        </w:rPr>
        <w:t>白云湖街公共服务办</w:t>
      </w:r>
      <w:r>
        <w:rPr>
          <w:rFonts w:hint="default" w:ascii="Times New Roman" w:hAnsi="Times New Roman" w:eastAsia="仿宋_GB2312" w:cs="Times New Roman"/>
          <w:sz w:val="32"/>
          <w:szCs w:val="32"/>
        </w:rPr>
        <w:t>依据</w:t>
      </w:r>
      <w:r>
        <w:rPr>
          <w:rFonts w:hint="default" w:ascii="Times New Roman" w:hAnsi="Times New Roman" w:eastAsia="仿宋_GB2312" w:cs="Times New Roman"/>
          <w:sz w:val="32"/>
          <w:szCs w:val="32"/>
          <w:lang w:val="en-US" w:eastAsia="zh-CN"/>
        </w:rPr>
        <w:t>公告</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lang w:val="en-US" w:eastAsia="zh-CN"/>
        </w:rPr>
        <w:t>对竞选机构提交的资料</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详细评价及打分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并将评分结果</w:t>
      </w:r>
      <w:r>
        <w:rPr>
          <w:rFonts w:hint="default" w:ascii="Times New Roman" w:hAnsi="Times New Roman" w:eastAsia="仿宋_GB2312" w:cs="Times New Roman"/>
          <w:sz w:val="32"/>
          <w:szCs w:val="32"/>
          <w:lang w:val="en-US" w:eastAsia="zh-CN"/>
        </w:rPr>
        <w:t>报街道会议审定</w:t>
      </w:r>
      <w:r>
        <w:rPr>
          <w:rFonts w:hint="eastAsia" w:ascii="Times New Roman" w:hAnsi="Times New Roman" w:eastAsia="仿宋_GB2312" w:cs="Times New Roman"/>
          <w:sz w:val="32"/>
          <w:szCs w:val="32"/>
          <w:lang w:val="en-US" w:eastAsia="zh-CN"/>
        </w:rPr>
        <w:t>，择优选定代理机构</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cs="Times New Roman"/>
          <w:sz w:val="32"/>
          <w:szCs w:val="32"/>
          <w:lang w:val="en-US" w:eastAsia="zh-CN"/>
        </w:rPr>
      </w:pPr>
    </w:p>
    <w:p>
      <w:pPr>
        <w:ind w:firstLine="480"/>
        <w:rPr>
          <w:rFonts w:hint="default" w:ascii="Times New Roman" w:hAnsi="Times New Roman" w:cs="Times New Roman"/>
          <w:sz w:val="24"/>
          <w:szCs w:val="24"/>
        </w:rPr>
      </w:pPr>
      <w:r>
        <w:rPr>
          <w:rFonts w:hint="default" w:ascii="Times New Roman" w:hAnsi="Times New Roman" w:cs="Times New Roman"/>
          <w:sz w:val="24"/>
          <w:szCs w:val="24"/>
        </w:rPr>
        <w:t>表一</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报名单位提交资料一览表</w:t>
      </w:r>
    </w:p>
    <w:p>
      <w:pPr>
        <w:rPr>
          <w:rFonts w:hint="default" w:ascii="Times New Roman" w:hAnsi="Times New Roman" w:cs="Times New Roman"/>
        </w:rPr>
      </w:pPr>
    </w:p>
    <w:tbl>
      <w:tblPr>
        <w:tblStyle w:val="3"/>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191"/>
        <w:gridCol w:w="1160"/>
        <w:gridCol w:w="1118"/>
        <w:gridCol w:w="216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91"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18"/>
                <w:szCs w:val="18"/>
              </w:rPr>
            </w:pPr>
            <w:r>
              <w:rPr>
                <w:rFonts w:ascii="Times New Roman" w:hAnsi="Times New Roman" w:cs="Times New Roman"/>
                <w:kern w:val="0"/>
                <w:sz w:val="24"/>
              </w:rPr>
              <w:t>项目名称：</w:t>
            </w:r>
            <w:r>
              <w:rPr>
                <w:rFonts w:hint="eastAsia" w:ascii="Times New Roman" w:hAnsi="Times New Roman" w:cs="Times New Roman"/>
                <w:sz w:val="24"/>
              </w:rPr>
              <w:t>广州市白云区白云湖街道办事处海苑社区公办托育机构第三方运营项目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91" w:type="dxa"/>
            <w:gridSpan w:val="6"/>
            <w:tcBorders>
              <w:top w:val="nil"/>
              <w:left w:val="nil"/>
              <w:bottom w:val="single" w:color="auto" w:sz="4" w:space="0"/>
              <w:right w:val="nil"/>
            </w:tcBorders>
            <w:vAlign w:val="center"/>
          </w:tcPr>
          <w:p>
            <w:pPr>
              <w:widowControl/>
              <w:spacing w:line="20" w:lineRule="atLeast"/>
              <w:rPr>
                <w:rFonts w:hint="eastAsia" w:ascii="Times New Roman" w:hAnsi="Times New Roman" w:cs="Times New Roman"/>
                <w:kern w:val="0"/>
                <w:sz w:val="24"/>
              </w:rPr>
            </w:pPr>
            <w:r>
              <w:rPr>
                <w:rFonts w:hint="eastAsia" w:ascii="Times New Roman" w:hAnsi="Times New Roman" w:cs="Times New Roman"/>
                <w:kern w:val="0"/>
                <w:sz w:val="24"/>
              </w:rPr>
              <w:t>报名单位</w:t>
            </w:r>
            <w:r>
              <w:rPr>
                <w:rFonts w:ascii="Times New Roman" w:hAnsi="Times New Roman" w:cs="Times New Roman"/>
                <w:kern w:val="0"/>
                <w:sz w:val="24"/>
              </w:rPr>
              <w:t>（盖章）</w:t>
            </w:r>
            <w:r>
              <w:rPr>
                <w:rFonts w:hint="eastAsia" w:ascii="Times New Roman" w:hAnsi="Times New Roman"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序号</w:t>
            </w:r>
          </w:p>
        </w:tc>
        <w:tc>
          <w:tcPr>
            <w:tcW w:w="3191"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资料内容</w:t>
            </w:r>
          </w:p>
        </w:tc>
        <w:tc>
          <w:tcPr>
            <w:tcW w:w="1160"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内页码</w:t>
            </w:r>
          </w:p>
        </w:tc>
        <w:tc>
          <w:tcPr>
            <w:tcW w:w="1118"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报名提交资料要求</w:t>
            </w:r>
          </w:p>
        </w:tc>
        <w:tc>
          <w:tcPr>
            <w:tcW w:w="2168" w:type="dxa"/>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审核情况</w:t>
            </w:r>
          </w:p>
        </w:tc>
        <w:tc>
          <w:tcPr>
            <w:tcW w:w="724"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0"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3191"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1160"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1118"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2168" w:type="dxa"/>
            <w:tcBorders>
              <w:top w:val="single" w:color="auto" w:sz="4" w:space="0"/>
            </w:tcBorders>
            <w:vAlign w:val="center"/>
          </w:tcPr>
          <w:p>
            <w:pPr>
              <w:widowControl/>
              <w:spacing w:line="4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（此栏不需申请人填写）</w:t>
            </w:r>
          </w:p>
        </w:tc>
        <w:tc>
          <w:tcPr>
            <w:tcW w:w="724"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报名申请表（同以下资料装订为一本）</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p>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2"/>
                <w:szCs w:val="22"/>
                <w:lang w:eastAsia="zh-CN"/>
              </w:rPr>
              <w:t>（</w:t>
            </w:r>
            <w:r>
              <w:rPr>
                <w:rFonts w:hint="eastAsia" w:ascii="Times New Roman" w:hAnsi="Times New Roman" w:cs="Times New Roman"/>
                <w:color w:val="auto"/>
                <w:kern w:val="0"/>
                <w:sz w:val="22"/>
                <w:szCs w:val="22"/>
                <w:lang w:val="en-US" w:eastAsia="zh-CN"/>
              </w:rPr>
              <w:t>必交项</w:t>
            </w:r>
            <w:r>
              <w:rPr>
                <w:rFonts w:hint="eastAsia" w:ascii="Times New Roman" w:hAnsi="Times New Roman" w:cs="Times New Roman"/>
                <w:color w:val="auto"/>
                <w:kern w:val="0"/>
                <w:sz w:val="22"/>
                <w:szCs w:val="22"/>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营业执照、资格证书</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法定代表人证明书</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4</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授权委托书</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5</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eastAsiaTheme="minorEastAsia"/>
                <w:i w:val="0"/>
                <w:caps w:val="0"/>
                <w:color w:val="auto"/>
                <w:spacing w:val="0"/>
                <w:sz w:val="24"/>
                <w:szCs w:val="24"/>
                <w:shd w:val="clear" w:fill="FFFFFF"/>
              </w:rPr>
              <w:t>在国家、广东省、广州市政府采购网进行政府采购代理机构登记注册，并进入广州市财政局政府采购招标代理机构名录库</w:t>
            </w:r>
            <w:r>
              <w:rPr>
                <w:rFonts w:hint="default" w:ascii="Times New Roman" w:hAnsi="Times New Roman" w:cs="Times New Roman" w:eastAsiaTheme="minorEastAsia"/>
                <w:i w:val="0"/>
                <w:caps w:val="0"/>
                <w:color w:val="auto"/>
                <w:spacing w:val="0"/>
                <w:sz w:val="24"/>
                <w:szCs w:val="24"/>
                <w:shd w:val="clear" w:fill="FFFFFF"/>
                <w:lang w:val="en-US" w:eastAsia="zh-CN"/>
              </w:rPr>
              <w:t>的有效证明材料</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相关网页打印件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序号</w:t>
            </w:r>
          </w:p>
        </w:tc>
        <w:tc>
          <w:tcPr>
            <w:tcW w:w="3191"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资料内容</w:t>
            </w:r>
          </w:p>
        </w:tc>
        <w:tc>
          <w:tcPr>
            <w:tcW w:w="1160"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内页码</w:t>
            </w:r>
          </w:p>
        </w:tc>
        <w:tc>
          <w:tcPr>
            <w:tcW w:w="1118" w:type="dxa"/>
            <w:vMerge w:val="restart"/>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b/>
                <w:bCs/>
                <w:kern w:val="0"/>
                <w:sz w:val="28"/>
                <w:szCs w:val="28"/>
              </w:rPr>
              <w:t>报名提交资料要求</w:t>
            </w:r>
          </w:p>
        </w:tc>
        <w:tc>
          <w:tcPr>
            <w:tcW w:w="216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审核情况</w:t>
            </w:r>
          </w:p>
        </w:tc>
        <w:tc>
          <w:tcPr>
            <w:tcW w:w="724" w:type="dxa"/>
            <w:vMerge w:val="restart"/>
            <w:vAlign w:val="center"/>
          </w:tcPr>
          <w:p>
            <w:pPr>
              <w:widowControl/>
              <w:spacing w:line="440" w:lineRule="exact"/>
              <w:jc w:val="center"/>
              <w:rPr>
                <w:rFonts w:hint="default" w:ascii="Times New Roman" w:hAnsi="Times New Roman" w:cs="Times New Roman"/>
                <w:b/>
                <w:bCs/>
                <w:kern w:val="0"/>
                <w:sz w:val="28"/>
                <w:szCs w:val="28"/>
                <w:lang w:val="en-US" w:eastAsia="zh-CN"/>
              </w:rPr>
            </w:pPr>
            <w:r>
              <w:rPr>
                <w:rFonts w:hint="eastAsia" w:ascii="Times New Roman" w:hAnsi="Times New Roman" w:cs="Times New Roman"/>
                <w:b/>
                <w:bCs/>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3191"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1160"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1118" w:type="dxa"/>
            <w:vMerge w:val="continue"/>
            <w:vAlign w:val="center"/>
          </w:tcPr>
          <w:p>
            <w:pPr>
              <w:widowControl/>
              <w:spacing w:line="440" w:lineRule="exact"/>
              <w:jc w:val="left"/>
              <w:rPr>
                <w:rFonts w:hint="eastAsia" w:ascii="Times New Roman" w:hAnsi="Times New Roman" w:cs="Times New Roman"/>
                <w:color w:val="auto"/>
                <w:kern w:val="0"/>
                <w:sz w:val="24"/>
                <w:szCs w:val="24"/>
                <w:lang w:val="en-US" w:eastAsia="zh-CN"/>
              </w:rPr>
            </w:pPr>
          </w:p>
        </w:tc>
        <w:tc>
          <w:tcPr>
            <w:tcW w:w="216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kern w:val="0"/>
                <w:sz w:val="18"/>
                <w:szCs w:val="18"/>
              </w:rPr>
              <w:t>（此栏不需申请人填写）</w:t>
            </w:r>
          </w:p>
        </w:tc>
        <w:tc>
          <w:tcPr>
            <w:tcW w:w="724" w:type="dxa"/>
            <w:vMerge w:val="continue"/>
            <w:vAlign w:val="center"/>
          </w:tcPr>
          <w:p>
            <w:pPr>
              <w:widowControl/>
              <w:spacing w:line="440" w:lineRule="exact"/>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6</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服务方案、项目团队及质量承诺</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7</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i w:val="0"/>
                <w:caps w:val="0"/>
                <w:color w:val="auto"/>
                <w:spacing w:val="0"/>
                <w:sz w:val="24"/>
                <w:szCs w:val="24"/>
                <w:shd w:val="clear" w:fill="FFFFFF"/>
              </w:rPr>
              <w:t>项目</w:t>
            </w:r>
            <w:r>
              <w:rPr>
                <w:rFonts w:hint="default" w:ascii="Times New Roman" w:hAnsi="Times New Roman" w:cs="Times New Roman" w:eastAsiaTheme="minorEastAsia"/>
                <w:color w:val="auto"/>
                <w:kern w:val="0"/>
                <w:sz w:val="24"/>
                <w:szCs w:val="24"/>
              </w:rPr>
              <w:t>业绩情况（需提供</w:t>
            </w:r>
            <w:r>
              <w:rPr>
                <w:rFonts w:hint="eastAsia" w:ascii="Times New Roman" w:hAnsi="Times New Roman" w:cs="Times New Roman"/>
                <w:color w:val="auto"/>
                <w:kern w:val="0"/>
                <w:sz w:val="24"/>
                <w:szCs w:val="24"/>
                <w:lang w:val="en-US" w:eastAsia="zh-CN"/>
              </w:rPr>
              <w:t>2020</w:t>
            </w:r>
            <w:r>
              <w:rPr>
                <w:rFonts w:hint="default" w:ascii="Times New Roman" w:hAnsi="Times New Roman" w:cs="Times New Roman" w:eastAsiaTheme="minorEastAsia"/>
                <w:color w:val="auto"/>
                <w:kern w:val="0"/>
                <w:sz w:val="24"/>
                <w:szCs w:val="24"/>
              </w:rPr>
              <w:t>年以来从事过</w:t>
            </w:r>
            <w:r>
              <w:rPr>
                <w:rFonts w:hint="default" w:ascii="Times New Roman" w:hAnsi="Times New Roman" w:cs="Times New Roman" w:eastAsiaTheme="minorEastAsia"/>
                <w:i w:val="0"/>
                <w:caps w:val="0"/>
                <w:color w:val="auto"/>
                <w:spacing w:val="0"/>
                <w:sz w:val="24"/>
                <w:szCs w:val="24"/>
                <w:shd w:val="clear" w:fill="FFFFFF"/>
              </w:rPr>
              <w:t>广州市内</w:t>
            </w:r>
            <w:r>
              <w:rPr>
                <w:rFonts w:hint="default" w:ascii="Times New Roman" w:hAnsi="Times New Roman" w:cs="Times New Roman" w:eastAsiaTheme="minorEastAsia"/>
                <w:i w:val="0"/>
                <w:caps w:val="0"/>
                <w:color w:val="auto"/>
                <w:spacing w:val="0"/>
                <w:sz w:val="24"/>
                <w:szCs w:val="24"/>
                <w:shd w:val="clear" w:fill="FFFFFF"/>
                <w:lang w:val="en-US" w:eastAsia="zh-CN"/>
              </w:rPr>
              <w:t>运营服务类项目</w:t>
            </w:r>
            <w:bookmarkStart w:id="0" w:name="_GoBack"/>
            <w:bookmarkEnd w:id="0"/>
            <w:r>
              <w:rPr>
                <w:rFonts w:hint="default" w:ascii="Times New Roman" w:hAnsi="Times New Roman" w:cs="Times New Roman" w:eastAsiaTheme="minorEastAsia"/>
                <w:color w:val="auto"/>
                <w:kern w:val="0"/>
                <w:sz w:val="24"/>
                <w:szCs w:val="24"/>
              </w:rPr>
              <w:t>中标公示</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rPr>
              <w:t>合同复印件等</w:t>
            </w:r>
            <w:r>
              <w:rPr>
                <w:rFonts w:hint="default" w:ascii="Times New Roman" w:hAnsi="Times New Roman" w:cs="Times New Roman" w:eastAsiaTheme="minorEastAsia"/>
                <w:color w:val="auto"/>
                <w:kern w:val="0"/>
                <w:sz w:val="24"/>
                <w:szCs w:val="24"/>
              </w:rPr>
              <w:t>佐证材料）</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8</w:t>
            </w:r>
          </w:p>
        </w:tc>
        <w:tc>
          <w:tcPr>
            <w:tcW w:w="3191"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default" w:ascii="Times New Roman" w:hAnsi="Times New Roman" w:cs="Times New Roman" w:eastAsiaTheme="minorEastAsia"/>
                <w:color w:val="auto"/>
                <w:kern w:val="0"/>
                <w:sz w:val="24"/>
                <w:szCs w:val="24"/>
              </w:rPr>
              <w:t>其他说明或证明材料</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如行业</w:t>
            </w:r>
            <w:r>
              <w:rPr>
                <w:rFonts w:hint="default" w:ascii="Times New Roman" w:hAnsi="Times New Roman" w:cs="Times New Roman" w:eastAsiaTheme="minorEastAsia"/>
                <w:sz w:val="24"/>
                <w:szCs w:val="24"/>
              </w:rPr>
              <w:t>相关荣誉证书</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此项非必交项，可不提供</w:t>
            </w:r>
            <w:r>
              <w:rPr>
                <w:rFonts w:hint="eastAsia" w:ascii="Times New Roman" w:hAnsi="Times New Roman" w:cs="Times New Roman"/>
                <w:color w:val="auto"/>
                <w:kern w:val="0"/>
                <w:sz w:val="24"/>
                <w:szCs w:val="24"/>
                <w:lang w:eastAsia="zh-CN"/>
              </w:rPr>
              <w:t>）</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原件/复印件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非必交项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9" w:type="dxa"/>
            <w:gridSpan w:val="4"/>
            <w:vAlign w:val="center"/>
          </w:tcPr>
          <w:p>
            <w:pPr>
              <w:widowControl/>
              <w:spacing w:line="440" w:lineRule="exact"/>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是否通过资格性审查</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sz w:val="24"/>
                <w:szCs w:val="24"/>
                <w:lang w:val="en-US" w:eastAsia="zh-CN"/>
              </w:rPr>
            </w:pPr>
          </w:p>
        </w:tc>
      </w:tr>
    </w:tbl>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rPr>
        <w:t>表</w:t>
      </w:r>
      <w:r>
        <w:rPr>
          <w:rFonts w:hint="default" w:ascii="Times New Roman" w:hAnsi="Times New Roman" w:cs="Times New Roman"/>
          <w:sz w:val="24"/>
          <w:szCs w:val="24"/>
          <w:lang w:val="en-US" w:eastAsia="zh-CN"/>
        </w:rPr>
        <w:t>二：详细评审打分表</w:t>
      </w:r>
    </w:p>
    <w:tbl>
      <w:tblPr>
        <w:tblStyle w:val="3"/>
        <w:tblW w:w="9870" w:type="dxa"/>
        <w:tblInd w:w="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40"/>
        <w:gridCol w:w="5760"/>
        <w:gridCol w:w="1185"/>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1740" w:type="dxa"/>
            <w:vAlign w:val="center"/>
          </w:tcPr>
          <w:p>
            <w:pPr>
              <w:jc w:val="center"/>
              <w:rPr>
                <w:rFonts w:ascii="Times New Roman" w:hAnsi="Times New Roman" w:cs="Times New Roman"/>
                <w:b/>
                <w:bCs/>
                <w:color w:val="auto"/>
                <w:sz w:val="24"/>
              </w:rPr>
            </w:pPr>
            <w:r>
              <w:rPr>
                <w:rFonts w:ascii="Times New Roman" w:hAnsi="Times New Roman" w:cs="Times New Roman"/>
                <w:b/>
                <w:bCs/>
                <w:color w:val="auto"/>
                <w:sz w:val="24"/>
              </w:rPr>
              <w:t>评审内容</w:t>
            </w:r>
          </w:p>
        </w:tc>
        <w:tc>
          <w:tcPr>
            <w:tcW w:w="5760" w:type="dxa"/>
            <w:vAlign w:val="center"/>
          </w:tcPr>
          <w:p>
            <w:pPr>
              <w:jc w:val="center"/>
              <w:rPr>
                <w:rFonts w:ascii="Times New Roman" w:hAnsi="Times New Roman" w:cs="Times New Roman"/>
                <w:b/>
                <w:bCs/>
                <w:color w:val="auto"/>
                <w:sz w:val="24"/>
              </w:rPr>
            </w:pPr>
            <w:r>
              <w:rPr>
                <w:rFonts w:ascii="Times New Roman" w:hAnsi="Times New Roman" w:cs="Times New Roman"/>
                <w:b/>
                <w:bCs/>
                <w:color w:val="auto"/>
                <w:sz w:val="24"/>
              </w:rPr>
              <w:t>打分标准</w:t>
            </w:r>
          </w:p>
        </w:tc>
        <w:tc>
          <w:tcPr>
            <w:tcW w:w="1185" w:type="dxa"/>
            <w:vAlign w:val="center"/>
          </w:tcPr>
          <w:p>
            <w:pPr>
              <w:jc w:val="center"/>
              <w:rPr>
                <w:rFonts w:ascii="Times New Roman" w:hAnsi="Times New Roman" w:cs="Times New Roman"/>
                <w:b/>
                <w:bCs/>
                <w:color w:val="auto"/>
                <w:sz w:val="24"/>
              </w:rPr>
            </w:pPr>
            <w:r>
              <w:rPr>
                <w:rFonts w:ascii="Times New Roman" w:hAnsi="Times New Roman" w:cs="Times New Roman"/>
                <w:b/>
                <w:bCs/>
                <w:color w:val="auto"/>
                <w:sz w:val="24"/>
              </w:rPr>
              <w:t>得分情况</w:t>
            </w:r>
          </w:p>
        </w:tc>
        <w:tc>
          <w:tcPr>
            <w:tcW w:w="1185" w:type="dxa"/>
            <w:vAlign w:val="center"/>
          </w:tcPr>
          <w:p>
            <w:pPr>
              <w:jc w:val="center"/>
              <w:rPr>
                <w:rFonts w:ascii="Times New Roman" w:hAnsi="Times New Roman" w:cs="Times New Roman"/>
                <w:b/>
                <w:bCs/>
                <w:color w:val="auto"/>
                <w:sz w:val="24"/>
              </w:rPr>
            </w:pPr>
            <w:r>
              <w:rPr>
                <w:rFonts w:hint="eastAsia" w:ascii="Times New Roman" w:hAnsi="Times New Roman" w:cs="Times New Roman"/>
                <w:b/>
                <w:bCs/>
                <w:color w:val="auto"/>
                <w:sz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trPr>
        <w:tc>
          <w:tcPr>
            <w:tcW w:w="9870" w:type="dxa"/>
            <w:gridSpan w:val="4"/>
            <w:vAlign w:val="center"/>
          </w:tcPr>
          <w:p>
            <w:pPr>
              <w:jc w:val="left"/>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一、企业资信、业绩</w:t>
            </w:r>
            <w:r>
              <w:rPr>
                <w:rFonts w:hint="eastAsia" w:ascii="Times New Roman" w:hAnsi="Times New Roman" w:cs="Times New Roman"/>
                <w:b/>
                <w:bCs/>
                <w:color w:val="auto"/>
                <w:sz w:val="24"/>
                <w:highlight w:val="none"/>
                <w:lang w:val="en-US" w:eastAsia="zh-CN"/>
              </w:rPr>
              <w:t>55</w:t>
            </w:r>
            <w:r>
              <w:rPr>
                <w:rFonts w:hint="eastAsia" w:ascii="Times New Roman" w:hAnsi="Times New Roman" w:cs="Times New Roman"/>
                <w:b/>
                <w:bCs/>
                <w:color w:val="auto"/>
                <w:sz w:val="24"/>
                <w:highlight w:val="none"/>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10" w:hRule="atLeast"/>
        </w:trPr>
        <w:tc>
          <w:tcPr>
            <w:tcW w:w="1740" w:type="dxa"/>
            <w:tcBorders>
              <w:right w:val="single" w:color="auto" w:sz="4" w:space="0"/>
            </w:tcBorders>
            <w:vAlign w:val="center"/>
          </w:tcPr>
          <w:p>
            <w:pPr>
              <w:rPr>
                <w:rFonts w:ascii="Times New Roman" w:hAnsi="Times New Roman" w:cs="Times New Roman"/>
                <w:color w:val="auto"/>
                <w:sz w:val="24"/>
                <w:shd w:val="clear" w:color="auto" w:fill="FFFFFF"/>
              </w:rPr>
            </w:pPr>
            <w:r>
              <w:rPr>
                <w:rFonts w:hint="eastAsia" w:ascii="Times New Roman" w:hAnsi="Times New Roman" w:cs="Times New Roman"/>
                <w:color w:val="auto"/>
                <w:sz w:val="24"/>
                <w:shd w:val="clear" w:color="auto" w:fill="FFFFFF"/>
              </w:rPr>
              <w:t>公司业务能力</w:t>
            </w:r>
          </w:p>
          <w:p>
            <w:pPr>
              <w:rPr>
                <w:rFonts w:ascii="Times New Roman" w:hAnsi="Times New Roman" w:cs="Times New Roman"/>
                <w:color w:val="auto"/>
                <w:sz w:val="24"/>
              </w:rPr>
            </w:pPr>
            <w:r>
              <w:rPr>
                <w:rFonts w:hint="eastAsia" w:ascii="Times New Roman" w:hAnsi="Times New Roman" w:cs="Times New Roman"/>
                <w:color w:val="auto"/>
                <w:kern w:val="0"/>
                <w:szCs w:val="21"/>
              </w:rPr>
              <w:t>（总分值1</w:t>
            </w:r>
            <w:r>
              <w:rPr>
                <w:rFonts w:hint="eastAsia" w:ascii="Times New Roman" w:hAnsi="Times New Roman" w:cs="Times New Roman"/>
                <w:color w:val="auto"/>
                <w:kern w:val="0"/>
                <w:szCs w:val="21"/>
                <w:lang w:val="en-US" w:eastAsia="zh-CN"/>
              </w:rPr>
              <w:t>5</w:t>
            </w:r>
            <w:r>
              <w:rPr>
                <w:rFonts w:hint="eastAsia" w:ascii="Times New Roman" w:hAnsi="Times New Roman" w:cs="Times New Roman"/>
                <w:color w:val="auto"/>
                <w:kern w:val="0"/>
                <w:szCs w:val="21"/>
              </w:rPr>
              <w:t>分）</w:t>
            </w:r>
          </w:p>
        </w:tc>
        <w:tc>
          <w:tcPr>
            <w:tcW w:w="5760" w:type="dxa"/>
            <w:tcBorders>
              <w:left w:val="single" w:color="auto" w:sz="4" w:space="0"/>
            </w:tcBorders>
            <w:vAlign w:val="center"/>
          </w:tcPr>
          <w:p>
            <w:pPr>
              <w:numPr>
                <w:ilvl w:val="0"/>
                <w:numId w:val="1"/>
              </w:numPr>
              <w:rPr>
                <w:rFonts w:ascii="Times New Roman" w:hAnsi="Times New Roman" w:cs="Times New Roman"/>
                <w:color w:val="auto"/>
                <w:sz w:val="24"/>
              </w:rPr>
            </w:pPr>
            <w:r>
              <w:rPr>
                <w:rFonts w:hint="eastAsia" w:ascii="Times New Roman" w:hAnsi="Times New Roman" w:cs="Times New Roman"/>
                <w:color w:val="auto"/>
                <w:sz w:val="24"/>
              </w:rPr>
              <w:t>综合业务能力佳，具有固定开、评标场所，有专业的配套设施，管理制度完善，管理水平、本地化服务水平较高。</w:t>
            </w:r>
            <w:r>
              <w:rPr>
                <w:rFonts w:hint="eastAsia" w:ascii="Times New Roman" w:hAnsi="Times New Roman" w:cs="Times New Roman"/>
                <w:color w:val="auto"/>
                <w:sz w:val="24"/>
                <w:lang w:val="en-US" w:eastAsia="zh-CN"/>
              </w:rPr>
              <w:t>10</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分</w:t>
            </w:r>
          </w:p>
          <w:p>
            <w:pPr>
              <w:numPr>
                <w:ilvl w:val="0"/>
                <w:numId w:val="1"/>
              </w:numPr>
              <w:rPr>
                <w:rFonts w:ascii="Times New Roman" w:hAnsi="Times New Roman" w:cs="Times New Roman"/>
                <w:color w:val="auto"/>
                <w:sz w:val="24"/>
              </w:rPr>
            </w:pPr>
            <w:r>
              <w:rPr>
                <w:rFonts w:hint="eastAsia" w:ascii="Times New Roman" w:hAnsi="Times New Roman" w:cs="Times New Roman"/>
                <w:color w:val="auto"/>
                <w:sz w:val="24"/>
              </w:rPr>
              <w:t>综合业务能力较好，具有固定开、评标场所，有专业的配套设施，管理制度完善，管理水平、本地化服务水平良好。4-</w:t>
            </w:r>
            <w:r>
              <w:rPr>
                <w:rFonts w:hint="eastAsia" w:ascii="Times New Roman" w:hAnsi="Times New Roman" w:cs="Times New Roman"/>
                <w:color w:val="auto"/>
                <w:sz w:val="24"/>
                <w:lang w:val="en-US" w:eastAsia="zh-CN"/>
              </w:rPr>
              <w:t>9</w:t>
            </w:r>
            <w:r>
              <w:rPr>
                <w:rFonts w:hint="eastAsia" w:ascii="Times New Roman" w:hAnsi="Times New Roman" w:cs="Times New Roman"/>
                <w:color w:val="auto"/>
                <w:sz w:val="24"/>
              </w:rPr>
              <w:t>分</w:t>
            </w:r>
          </w:p>
          <w:p>
            <w:pPr>
              <w:numPr>
                <w:ilvl w:val="0"/>
                <w:numId w:val="1"/>
              </w:numPr>
              <w:rPr>
                <w:rFonts w:ascii="Times New Roman" w:hAnsi="Times New Roman" w:cs="Times New Roman"/>
                <w:color w:val="auto"/>
                <w:sz w:val="24"/>
              </w:rPr>
            </w:pPr>
            <w:r>
              <w:rPr>
                <w:rFonts w:hint="eastAsia" w:ascii="Times New Roman" w:hAnsi="Times New Roman" w:cs="Times New Roman"/>
                <w:color w:val="auto"/>
                <w:sz w:val="24"/>
              </w:rPr>
              <w:t>综合业务能力一般，公司专业化服务配套设施、管理水平、本地化服务水平一般。3分</w:t>
            </w:r>
          </w:p>
        </w:tc>
        <w:tc>
          <w:tcPr>
            <w:tcW w:w="1185" w:type="dxa"/>
            <w:vAlign w:val="center"/>
          </w:tcPr>
          <w:p>
            <w:pPr>
              <w:rPr>
                <w:rFonts w:ascii="Times New Roman" w:hAnsi="Times New Roman" w:cs="Times New Roman"/>
                <w:color w:val="auto"/>
                <w:sz w:val="24"/>
              </w:rPr>
            </w:pPr>
          </w:p>
        </w:tc>
        <w:tc>
          <w:tcPr>
            <w:tcW w:w="1185" w:type="dxa"/>
            <w:vAlign w:val="center"/>
          </w:tcPr>
          <w:p>
            <w:pPr>
              <w:rPr>
                <w:rFonts w:ascii="Times New Roman" w:hAnsi="Times New Roman" w:cs="Times New Roman"/>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57" w:hRule="atLeast"/>
        </w:trPr>
        <w:tc>
          <w:tcPr>
            <w:tcW w:w="1740" w:type="dxa"/>
            <w:tcBorders>
              <w:right w:val="single" w:color="auto" w:sz="4" w:space="0"/>
            </w:tcBorders>
            <w:vAlign w:val="center"/>
          </w:tcPr>
          <w:p>
            <w:pPr>
              <w:rPr>
                <w:rFonts w:hint="default" w:ascii="Times New Roman" w:hAnsi="Times New Roman" w:cs="Times New Roman" w:eastAsiaTheme="minorEastAsia"/>
                <w:i w:val="0"/>
                <w:caps w:val="0"/>
                <w:color w:val="auto"/>
                <w:spacing w:val="0"/>
                <w:sz w:val="24"/>
                <w:szCs w:val="24"/>
                <w:shd w:val="clear" w:fill="FFFFFF"/>
                <w:lang w:val="en-US" w:eastAsia="zh-CN"/>
              </w:rPr>
            </w:pPr>
            <w:r>
              <w:rPr>
                <w:rFonts w:hint="eastAsia" w:ascii="Times New Roman" w:hAnsi="Times New Roman" w:cs="Times New Roman"/>
                <w:color w:val="auto"/>
                <w:kern w:val="0"/>
                <w:sz w:val="24"/>
                <w:szCs w:val="24"/>
                <w:lang w:val="en-US" w:eastAsia="zh-CN"/>
              </w:rPr>
              <w:t>2020</w:t>
            </w:r>
            <w:r>
              <w:rPr>
                <w:rFonts w:hint="default" w:ascii="Times New Roman" w:hAnsi="Times New Roman" w:cs="Times New Roman" w:eastAsiaTheme="minorEastAsia"/>
                <w:color w:val="auto"/>
                <w:kern w:val="0"/>
                <w:sz w:val="24"/>
                <w:szCs w:val="24"/>
              </w:rPr>
              <w:t>年以来从事过</w:t>
            </w:r>
            <w:r>
              <w:rPr>
                <w:rFonts w:hint="default" w:ascii="Times New Roman" w:hAnsi="Times New Roman" w:cs="Times New Roman" w:eastAsiaTheme="minorEastAsia"/>
                <w:i w:val="0"/>
                <w:caps w:val="0"/>
                <w:color w:val="auto"/>
                <w:spacing w:val="0"/>
                <w:sz w:val="24"/>
                <w:szCs w:val="24"/>
                <w:shd w:val="clear" w:fill="FFFFFF"/>
              </w:rPr>
              <w:t>广州市内</w:t>
            </w:r>
            <w:r>
              <w:rPr>
                <w:rFonts w:hint="default" w:ascii="Times New Roman" w:hAnsi="Times New Roman" w:cs="Times New Roman" w:eastAsiaTheme="minorEastAsia"/>
                <w:i w:val="0"/>
                <w:caps w:val="0"/>
                <w:color w:val="auto"/>
                <w:spacing w:val="0"/>
                <w:sz w:val="24"/>
                <w:szCs w:val="24"/>
                <w:shd w:val="clear" w:fill="FFFFFF"/>
                <w:lang w:val="en-US" w:eastAsia="zh-CN"/>
              </w:rPr>
              <w:t>运营服务类项目</w:t>
            </w:r>
          </w:p>
          <w:p>
            <w:pPr>
              <w:rPr>
                <w:rFonts w:ascii="Times New Roman" w:hAnsi="Times New Roman" w:cs="Times New Roman"/>
                <w:color w:val="auto"/>
                <w:sz w:val="24"/>
                <w:highlight w:val="none"/>
                <w:shd w:val="clear" w:color="auto" w:fill="FFFFFF"/>
              </w:rPr>
            </w:pPr>
            <w:r>
              <w:rPr>
                <w:rFonts w:hint="eastAsia" w:ascii="Times New Roman" w:hAnsi="Times New Roman" w:cs="Times New Roman"/>
                <w:color w:val="auto"/>
                <w:kern w:val="0"/>
                <w:szCs w:val="21"/>
                <w:highlight w:val="none"/>
              </w:rPr>
              <w:t>（总分值</w:t>
            </w:r>
            <w:r>
              <w:rPr>
                <w:rFonts w:hint="eastAsia" w:ascii="Times New Roman" w:hAnsi="Times New Roman" w:cs="Times New Roman"/>
                <w:color w:val="auto"/>
                <w:kern w:val="0"/>
                <w:szCs w:val="21"/>
                <w:highlight w:val="none"/>
                <w:lang w:val="en-US" w:eastAsia="zh-CN"/>
              </w:rPr>
              <w:t>20</w:t>
            </w:r>
            <w:r>
              <w:rPr>
                <w:rFonts w:hint="eastAsia" w:ascii="Times New Roman" w:hAnsi="Times New Roman" w:cs="Times New Roman"/>
                <w:color w:val="auto"/>
                <w:kern w:val="0"/>
                <w:szCs w:val="21"/>
                <w:highlight w:val="none"/>
              </w:rPr>
              <w:t>分）</w:t>
            </w:r>
          </w:p>
        </w:tc>
        <w:tc>
          <w:tcPr>
            <w:tcW w:w="5760" w:type="dxa"/>
            <w:tcBorders>
              <w:left w:val="single" w:color="auto" w:sz="4" w:space="0"/>
            </w:tcBorders>
            <w:vAlign w:val="center"/>
          </w:tcPr>
          <w:p>
            <w:pPr>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2020年1月1日至今（以结果公告时间为准）代理的运营服务类项目，每项业绩得2分，最高得20分。</w:t>
            </w:r>
          </w:p>
          <w:p>
            <w:pPr>
              <w:rPr>
                <w:rFonts w:ascii="Times New Roman" w:hAnsi="Times New Roman" w:cs="Times New Roman"/>
                <w:color w:val="auto"/>
                <w:sz w:val="24"/>
                <w:highlight w:val="none"/>
              </w:rPr>
            </w:pPr>
            <w:r>
              <w:rPr>
                <w:rFonts w:hint="eastAsia" w:ascii="Times New Roman" w:hAnsi="Times New Roman" w:cs="Times New Roman"/>
                <w:color w:val="auto"/>
                <w:kern w:val="0"/>
                <w:sz w:val="24"/>
                <w:highlight w:val="none"/>
              </w:rPr>
              <w:t>须提供委托代理协议、结果公告复印件等佐证材料，否则不得分。</w:t>
            </w:r>
          </w:p>
        </w:tc>
        <w:tc>
          <w:tcPr>
            <w:tcW w:w="1185" w:type="dxa"/>
            <w:vAlign w:val="center"/>
          </w:tcPr>
          <w:p>
            <w:pPr>
              <w:rPr>
                <w:rFonts w:ascii="Times New Roman" w:hAnsi="Times New Roman" w:cs="Times New Roman"/>
                <w:color w:val="auto"/>
                <w:sz w:val="24"/>
                <w:highlight w:val="none"/>
              </w:rPr>
            </w:pPr>
          </w:p>
        </w:tc>
        <w:tc>
          <w:tcPr>
            <w:tcW w:w="1185" w:type="dxa"/>
            <w:vAlign w:val="center"/>
          </w:tcPr>
          <w:p>
            <w:pPr>
              <w:rPr>
                <w:rFonts w:ascii="Times New Roman" w:hAnsi="Times New Roman" w:cs="Times New Roman"/>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5" w:hRule="atLeast"/>
        </w:trPr>
        <w:tc>
          <w:tcPr>
            <w:tcW w:w="1740" w:type="dxa"/>
            <w:tcBorders>
              <w:right w:val="single" w:color="auto" w:sz="4" w:space="0"/>
            </w:tcBorders>
            <w:vAlign w:val="center"/>
          </w:tcPr>
          <w:p>
            <w:pPr>
              <w:rPr>
                <w:rFonts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客户评价情况</w:t>
            </w:r>
          </w:p>
          <w:p>
            <w:pPr>
              <w:rPr>
                <w:rFonts w:ascii="Times New Roman" w:hAnsi="Times New Roman" w:cs="Times New Roman"/>
                <w:color w:val="auto"/>
                <w:kern w:val="0"/>
                <w:sz w:val="24"/>
                <w:highlight w:val="none"/>
              </w:rPr>
            </w:pPr>
            <w:r>
              <w:rPr>
                <w:rFonts w:hint="eastAsia" w:ascii="Times New Roman" w:hAnsi="Times New Roman" w:cs="Times New Roman"/>
                <w:color w:val="auto"/>
                <w:kern w:val="0"/>
                <w:szCs w:val="21"/>
                <w:highlight w:val="none"/>
              </w:rPr>
              <w:t>（总分值</w:t>
            </w:r>
            <w:r>
              <w:rPr>
                <w:rFonts w:hint="eastAsia" w:ascii="Times New Roman" w:hAnsi="Times New Roman" w:cs="Times New Roman"/>
                <w:color w:val="auto"/>
                <w:kern w:val="0"/>
                <w:szCs w:val="21"/>
                <w:highlight w:val="none"/>
                <w:lang w:val="en-US" w:eastAsia="zh-CN"/>
              </w:rPr>
              <w:t>20</w:t>
            </w:r>
            <w:r>
              <w:rPr>
                <w:rFonts w:hint="eastAsia" w:ascii="Times New Roman" w:hAnsi="Times New Roman" w:cs="Times New Roman"/>
                <w:color w:val="auto"/>
                <w:kern w:val="0"/>
                <w:szCs w:val="21"/>
                <w:highlight w:val="none"/>
              </w:rPr>
              <w:t>分）</w:t>
            </w:r>
          </w:p>
        </w:tc>
        <w:tc>
          <w:tcPr>
            <w:tcW w:w="5760" w:type="dxa"/>
            <w:tcBorders>
              <w:left w:val="single" w:color="auto" w:sz="4" w:space="0"/>
            </w:tcBorders>
            <w:vAlign w:val="center"/>
          </w:tcPr>
          <w:p>
            <w:pPr>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上述同类项目业绩中，获得项目用户考核评价为正面评价（优秀、优良、良好、满意或相当于类似评价，且须有评价单位盖章并提供评价单位的联系人及联系方式）的证明文件复印件，每项符合要求的评价得</w:t>
            </w:r>
            <w:r>
              <w:rPr>
                <w:rFonts w:hint="eastAsia"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rPr>
              <w:t>分，最高得</w:t>
            </w:r>
            <w:r>
              <w:rPr>
                <w:rFonts w:hint="eastAsia" w:ascii="Times New Roman" w:hAnsi="Times New Roman" w:cs="Times New Roman"/>
                <w:color w:val="auto"/>
                <w:sz w:val="24"/>
                <w:highlight w:val="none"/>
                <w:lang w:val="en-US" w:eastAsia="zh-CN"/>
              </w:rPr>
              <w:t>20</w:t>
            </w:r>
            <w:r>
              <w:rPr>
                <w:rFonts w:hint="eastAsia" w:ascii="Times New Roman" w:hAnsi="Times New Roman" w:cs="Times New Roman"/>
                <w:color w:val="auto"/>
                <w:sz w:val="24"/>
                <w:highlight w:val="none"/>
              </w:rPr>
              <w:t>分。</w:t>
            </w:r>
          </w:p>
        </w:tc>
        <w:tc>
          <w:tcPr>
            <w:tcW w:w="1185" w:type="dxa"/>
            <w:vAlign w:val="center"/>
          </w:tcPr>
          <w:p>
            <w:pPr>
              <w:rPr>
                <w:rFonts w:ascii="Times New Roman" w:hAnsi="Times New Roman" w:cs="Times New Roman"/>
                <w:color w:val="auto"/>
                <w:sz w:val="24"/>
                <w:highlight w:val="none"/>
              </w:rPr>
            </w:pPr>
          </w:p>
        </w:tc>
        <w:tc>
          <w:tcPr>
            <w:tcW w:w="1185" w:type="dxa"/>
            <w:vAlign w:val="center"/>
          </w:tcPr>
          <w:p>
            <w:pPr>
              <w:rPr>
                <w:rFonts w:ascii="Times New Roman" w:hAnsi="Times New Roman" w:cs="Times New Roman"/>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2" w:hRule="atLeast"/>
        </w:trPr>
        <w:tc>
          <w:tcPr>
            <w:tcW w:w="9870" w:type="dxa"/>
            <w:gridSpan w:val="4"/>
            <w:vAlign w:val="center"/>
          </w:tcPr>
          <w:p>
            <w:pPr>
              <w:rPr>
                <w:rFonts w:ascii="Times New Roman" w:hAnsi="Times New Roman" w:cs="Times New Roman"/>
                <w:b/>
                <w:bCs/>
                <w:color w:val="auto"/>
                <w:sz w:val="24"/>
              </w:rPr>
            </w:pPr>
            <w:r>
              <w:rPr>
                <w:rFonts w:hint="eastAsia" w:ascii="Times New Roman" w:hAnsi="Times New Roman" w:cs="Times New Roman"/>
                <w:b/>
                <w:bCs/>
                <w:color w:val="auto"/>
                <w:sz w:val="24"/>
              </w:rPr>
              <w:t>二、代理方案40分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740" w:type="dxa"/>
            <w:vAlign w:val="center"/>
          </w:tcPr>
          <w:p>
            <w:pPr>
              <w:rPr>
                <w:rFonts w:ascii="Times New Roman" w:hAnsi="Times New Roman" w:cs="Times New Roman"/>
                <w:color w:val="auto"/>
                <w:kern w:val="0"/>
                <w:sz w:val="24"/>
              </w:rPr>
            </w:pPr>
            <w:r>
              <w:rPr>
                <w:rFonts w:hint="eastAsia" w:ascii="Times New Roman" w:hAnsi="Times New Roman" w:cs="Times New Roman"/>
                <w:color w:val="auto"/>
                <w:kern w:val="0"/>
                <w:sz w:val="24"/>
              </w:rPr>
              <w:t>招标代理服务方案</w:t>
            </w:r>
          </w:p>
          <w:p>
            <w:pPr>
              <w:rPr>
                <w:rFonts w:ascii="Times New Roman" w:hAnsi="Times New Roman" w:cs="Times New Roman"/>
                <w:color w:val="auto"/>
                <w:sz w:val="24"/>
              </w:rPr>
            </w:pPr>
            <w:r>
              <w:rPr>
                <w:rFonts w:hint="eastAsia" w:ascii="Times New Roman" w:hAnsi="Times New Roman" w:cs="Times New Roman"/>
                <w:color w:val="auto"/>
                <w:kern w:val="0"/>
                <w:szCs w:val="21"/>
              </w:rPr>
              <w:t>（总分值20分）</w:t>
            </w:r>
          </w:p>
        </w:tc>
        <w:tc>
          <w:tcPr>
            <w:tcW w:w="5760" w:type="dxa"/>
            <w:vAlign w:val="center"/>
          </w:tcPr>
          <w:p>
            <w:pPr>
              <w:numPr>
                <w:ilvl w:val="0"/>
                <w:numId w:val="2"/>
              </w:numPr>
              <w:rPr>
                <w:rFonts w:ascii="Times New Roman" w:hAnsi="Times New Roman" w:cs="Times New Roman"/>
                <w:color w:val="auto"/>
                <w:sz w:val="24"/>
              </w:rPr>
            </w:pPr>
            <w:r>
              <w:rPr>
                <w:rFonts w:hint="eastAsia" w:ascii="Times New Roman" w:hAnsi="Times New Roman" w:cs="Times New Roman"/>
                <w:color w:val="auto"/>
                <w:sz w:val="24"/>
              </w:rPr>
              <w:t>代理服务方案完整且具体可行，能根据项目特点，拟定有针对性、可行性服务方案，所制定的招标服务方案对</w:t>
            </w:r>
            <w:r>
              <w:rPr>
                <w:rFonts w:hint="eastAsia" w:ascii="Times New Roman" w:hAnsi="Times New Roman" w:cs="Times New Roman"/>
                <w:color w:val="auto"/>
                <w:sz w:val="24"/>
                <w:lang w:val="en-US" w:eastAsia="zh-CN"/>
              </w:rPr>
              <w:t>公办托育机构运营项目</w:t>
            </w:r>
            <w:r>
              <w:rPr>
                <w:rFonts w:hint="eastAsia" w:ascii="Times New Roman" w:hAnsi="Times New Roman" w:cs="Times New Roman"/>
                <w:color w:val="auto"/>
                <w:sz w:val="24"/>
              </w:rPr>
              <w:t>有针对性描述、合理性操作。11-20分</w:t>
            </w:r>
          </w:p>
          <w:p>
            <w:pPr>
              <w:numPr>
                <w:ilvl w:val="0"/>
                <w:numId w:val="2"/>
              </w:numPr>
              <w:rPr>
                <w:rFonts w:ascii="Times New Roman" w:hAnsi="Times New Roman" w:cs="Times New Roman"/>
                <w:color w:val="auto"/>
                <w:sz w:val="24"/>
              </w:rPr>
            </w:pPr>
            <w:r>
              <w:rPr>
                <w:rFonts w:hint="eastAsia" w:ascii="Times New Roman" w:hAnsi="Times New Roman" w:cs="Times New Roman"/>
                <w:color w:val="auto"/>
                <w:sz w:val="24"/>
              </w:rPr>
              <w:t>代理服务方案良好，内容基本完整、可行，存在局部瑕疵。3-10分</w:t>
            </w:r>
          </w:p>
          <w:p>
            <w:pPr>
              <w:numPr>
                <w:ilvl w:val="0"/>
                <w:numId w:val="2"/>
              </w:numPr>
              <w:rPr>
                <w:rFonts w:ascii="Times New Roman" w:hAnsi="Times New Roman" w:cs="Times New Roman"/>
                <w:color w:val="auto"/>
                <w:sz w:val="24"/>
              </w:rPr>
            </w:pPr>
            <w:r>
              <w:rPr>
                <w:rFonts w:hint="eastAsia" w:ascii="Times New Roman" w:hAnsi="Times New Roman" w:cs="Times New Roman"/>
                <w:color w:val="auto"/>
                <w:sz w:val="24"/>
              </w:rPr>
              <w:t>代理服务方案一般，无针对性。0分</w:t>
            </w:r>
          </w:p>
        </w:tc>
        <w:tc>
          <w:tcPr>
            <w:tcW w:w="1185" w:type="dxa"/>
            <w:vAlign w:val="center"/>
          </w:tcPr>
          <w:p>
            <w:pPr>
              <w:rPr>
                <w:rFonts w:ascii="Times New Roman" w:hAnsi="Times New Roman" w:cs="Times New Roman"/>
                <w:color w:val="auto"/>
                <w:sz w:val="24"/>
              </w:rPr>
            </w:pPr>
          </w:p>
        </w:tc>
        <w:tc>
          <w:tcPr>
            <w:tcW w:w="1185" w:type="dxa"/>
            <w:vAlign w:val="center"/>
          </w:tcPr>
          <w:p>
            <w:pPr>
              <w:rPr>
                <w:rFonts w:ascii="Times New Roman" w:hAnsi="Times New Roman" w:cs="Times New Roman"/>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1740" w:type="dxa"/>
            <w:vAlign w:val="center"/>
          </w:tcPr>
          <w:p>
            <w:pPr>
              <w:rPr>
                <w:rFonts w:ascii="Times New Roman" w:hAnsi="Times New Roman" w:cs="Times New Roman"/>
                <w:color w:val="auto"/>
                <w:kern w:val="0"/>
                <w:sz w:val="24"/>
              </w:rPr>
            </w:pPr>
            <w:r>
              <w:rPr>
                <w:rFonts w:hint="eastAsia" w:ascii="Times New Roman" w:hAnsi="Times New Roman" w:cs="Times New Roman"/>
                <w:color w:val="auto"/>
                <w:kern w:val="0"/>
                <w:sz w:val="24"/>
              </w:rPr>
              <w:t>服务质量承诺</w:t>
            </w:r>
          </w:p>
          <w:p>
            <w:pPr>
              <w:rPr>
                <w:rFonts w:ascii="Times New Roman" w:hAnsi="Times New Roman" w:cs="Times New Roman"/>
                <w:color w:val="auto"/>
                <w:kern w:val="0"/>
                <w:sz w:val="24"/>
              </w:rPr>
            </w:pPr>
            <w:r>
              <w:rPr>
                <w:rFonts w:hint="eastAsia" w:ascii="Times New Roman" w:hAnsi="Times New Roman" w:cs="Times New Roman"/>
                <w:color w:val="auto"/>
                <w:kern w:val="0"/>
                <w:szCs w:val="21"/>
              </w:rPr>
              <w:t>（总分值20分）</w:t>
            </w:r>
          </w:p>
        </w:tc>
        <w:tc>
          <w:tcPr>
            <w:tcW w:w="5760" w:type="dxa"/>
            <w:vAlign w:val="center"/>
          </w:tcPr>
          <w:p>
            <w:pPr>
              <w:numPr>
                <w:ilvl w:val="0"/>
                <w:numId w:val="3"/>
              </w:numPr>
              <w:rPr>
                <w:rFonts w:ascii="Times New Roman" w:hAnsi="Times New Roman" w:cs="Times New Roman"/>
                <w:color w:val="auto"/>
                <w:sz w:val="24"/>
              </w:rPr>
            </w:pPr>
            <w:r>
              <w:rPr>
                <w:rFonts w:hint="eastAsia" w:ascii="Times New Roman" w:hAnsi="Times New Roman" w:cs="Times New Roman"/>
                <w:color w:val="auto"/>
                <w:sz w:val="24"/>
              </w:rPr>
              <w:t>服务质量承诺内容具体、针对性强、切实可行，并附具体、可行的违约责任及相关承诺，有紧急预案且措施明确、可行。10-20分；</w:t>
            </w:r>
          </w:p>
          <w:p>
            <w:pPr>
              <w:numPr>
                <w:ilvl w:val="0"/>
                <w:numId w:val="3"/>
              </w:numPr>
              <w:rPr>
                <w:rFonts w:ascii="Times New Roman" w:hAnsi="Times New Roman" w:cs="Times New Roman"/>
                <w:color w:val="auto"/>
                <w:sz w:val="24"/>
              </w:rPr>
            </w:pPr>
            <w:r>
              <w:rPr>
                <w:rFonts w:hint="eastAsia" w:ascii="Times New Roman" w:hAnsi="Times New Roman" w:cs="Times New Roman"/>
                <w:color w:val="auto"/>
                <w:sz w:val="24"/>
              </w:rPr>
              <w:t>服务质量承诺内容具体，相对较好，违约承诺、紧急预案一般。4-9分</w:t>
            </w:r>
          </w:p>
          <w:p>
            <w:pPr>
              <w:numPr>
                <w:ilvl w:val="0"/>
                <w:numId w:val="3"/>
              </w:numPr>
              <w:rPr>
                <w:rFonts w:ascii="Times New Roman" w:hAnsi="Times New Roman" w:cs="Times New Roman"/>
                <w:color w:val="auto"/>
                <w:sz w:val="24"/>
              </w:rPr>
            </w:pPr>
            <w:r>
              <w:rPr>
                <w:rFonts w:hint="eastAsia" w:ascii="Times New Roman" w:hAnsi="Times New Roman" w:cs="Times New Roman"/>
                <w:color w:val="auto"/>
                <w:sz w:val="24"/>
              </w:rPr>
              <w:t>服务质量承诺内容不够具体，且无具体违约承诺，无紧急预案。0-3分</w:t>
            </w:r>
          </w:p>
        </w:tc>
        <w:tc>
          <w:tcPr>
            <w:tcW w:w="1185" w:type="dxa"/>
            <w:vAlign w:val="center"/>
          </w:tcPr>
          <w:p>
            <w:pPr>
              <w:rPr>
                <w:rFonts w:ascii="Times New Roman" w:hAnsi="Times New Roman" w:cs="Times New Roman"/>
                <w:color w:val="auto"/>
                <w:sz w:val="24"/>
              </w:rPr>
            </w:pPr>
          </w:p>
        </w:tc>
        <w:tc>
          <w:tcPr>
            <w:tcW w:w="1185" w:type="dxa"/>
            <w:vAlign w:val="center"/>
          </w:tcPr>
          <w:p>
            <w:pPr>
              <w:rPr>
                <w:rFonts w:ascii="Times New Roman" w:hAnsi="Times New Roman" w:cs="Times New Roman"/>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9870" w:type="dxa"/>
            <w:gridSpan w:val="4"/>
            <w:vAlign w:val="center"/>
          </w:tcPr>
          <w:p>
            <w:pPr>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三</w:t>
            </w:r>
            <w:r>
              <w:rPr>
                <w:rFonts w:hint="eastAsia" w:ascii="Times New Roman" w:hAnsi="Times New Roman" w:cs="Times New Roman"/>
                <w:b/>
                <w:bCs/>
                <w:color w:val="auto"/>
                <w:sz w:val="24"/>
              </w:rPr>
              <w:t>、代理</w:t>
            </w:r>
            <w:r>
              <w:rPr>
                <w:rFonts w:ascii="Times New Roman" w:hAnsi="Times New Roman" w:cs="Times New Roman"/>
                <w:b/>
                <w:bCs/>
                <w:color w:val="auto"/>
                <w:sz w:val="24"/>
              </w:rPr>
              <w:t>荣誉情况</w:t>
            </w:r>
            <w:r>
              <w:rPr>
                <w:rFonts w:hint="eastAsia" w:ascii="Times New Roman" w:hAnsi="Times New Roman" w:cs="Times New Roman"/>
                <w:b/>
                <w:bCs/>
                <w:color w:val="auto"/>
                <w:sz w:val="24"/>
                <w:lang w:val="en-US" w:eastAsia="zh-CN"/>
              </w:rPr>
              <w:t>5</w:t>
            </w:r>
            <w:r>
              <w:rPr>
                <w:rFonts w:hint="eastAsia" w:ascii="Times New Roman" w:hAnsi="Times New Roman" w:cs="Times New Roman"/>
                <w:b/>
                <w:bCs/>
                <w:color w:val="auto"/>
                <w:sz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2" w:hRule="atLeast"/>
        </w:trPr>
        <w:tc>
          <w:tcPr>
            <w:tcW w:w="1740"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荣誉情况</w:t>
            </w:r>
          </w:p>
          <w:p>
            <w:pPr>
              <w:jc w:val="center"/>
              <w:rPr>
                <w:rFonts w:ascii="Times New Roman" w:hAnsi="Times New Roman" w:cs="Times New Roman"/>
                <w:color w:val="auto"/>
                <w:sz w:val="24"/>
              </w:rPr>
            </w:pPr>
            <w:r>
              <w:rPr>
                <w:rFonts w:hint="eastAsia" w:ascii="Times New Roman" w:hAnsi="Times New Roman" w:cs="Times New Roman"/>
                <w:color w:val="auto"/>
                <w:kern w:val="0"/>
                <w:szCs w:val="21"/>
              </w:rPr>
              <w:t>（总分值</w:t>
            </w:r>
            <w:r>
              <w:rPr>
                <w:rFonts w:hint="eastAsia" w:ascii="Times New Roman" w:hAnsi="Times New Roman" w:cs="Times New Roman"/>
                <w:color w:val="auto"/>
                <w:kern w:val="0"/>
                <w:szCs w:val="21"/>
                <w:lang w:val="en-US" w:eastAsia="zh-CN"/>
              </w:rPr>
              <w:t>5</w:t>
            </w:r>
            <w:r>
              <w:rPr>
                <w:rFonts w:hint="eastAsia" w:ascii="Times New Roman" w:hAnsi="Times New Roman" w:cs="Times New Roman"/>
                <w:color w:val="auto"/>
                <w:kern w:val="0"/>
                <w:szCs w:val="21"/>
              </w:rPr>
              <w:t>分）</w:t>
            </w:r>
          </w:p>
        </w:tc>
        <w:tc>
          <w:tcPr>
            <w:tcW w:w="5760" w:type="dxa"/>
            <w:vAlign w:val="center"/>
          </w:tcPr>
          <w:p>
            <w:pPr>
              <w:rPr>
                <w:rFonts w:ascii="Times New Roman" w:hAnsi="Times New Roman" w:cs="Times New Roman"/>
                <w:color w:val="auto"/>
                <w:sz w:val="24"/>
              </w:rPr>
            </w:pPr>
            <w:r>
              <w:rPr>
                <w:rFonts w:ascii="Times New Roman" w:hAnsi="Times New Roman" w:cs="Times New Roman"/>
                <w:color w:val="auto"/>
                <w:sz w:val="24"/>
              </w:rPr>
              <w:t>获得行业荣誉的：每个得</w:t>
            </w:r>
            <w:r>
              <w:rPr>
                <w:rFonts w:hint="eastAsia" w:ascii="Times New Roman" w:hAnsi="Times New Roman" w:cs="Times New Roman"/>
                <w:color w:val="auto"/>
                <w:sz w:val="24"/>
                <w:lang w:val="en-US" w:eastAsia="zh-CN"/>
              </w:rPr>
              <w:t>1</w:t>
            </w:r>
            <w:r>
              <w:rPr>
                <w:rFonts w:ascii="Times New Roman" w:hAnsi="Times New Roman" w:cs="Times New Roman"/>
                <w:color w:val="auto"/>
                <w:sz w:val="24"/>
              </w:rPr>
              <w:t>分，最高得</w:t>
            </w:r>
            <w:r>
              <w:rPr>
                <w:rFonts w:hint="eastAsia" w:ascii="Times New Roman" w:hAnsi="Times New Roman" w:cs="Times New Roman"/>
                <w:color w:val="auto"/>
                <w:sz w:val="24"/>
                <w:lang w:val="en-US" w:eastAsia="zh-CN"/>
              </w:rPr>
              <w:t>5</w:t>
            </w:r>
            <w:r>
              <w:rPr>
                <w:rFonts w:ascii="Times New Roman" w:hAnsi="Times New Roman" w:cs="Times New Roman"/>
                <w:color w:val="auto"/>
                <w:sz w:val="24"/>
              </w:rPr>
              <w:t>分（提供相关荣誉证书复印件加盖公章）</w:t>
            </w:r>
          </w:p>
        </w:tc>
        <w:tc>
          <w:tcPr>
            <w:tcW w:w="1185" w:type="dxa"/>
            <w:vAlign w:val="center"/>
          </w:tcPr>
          <w:p>
            <w:pPr>
              <w:rPr>
                <w:rFonts w:ascii="Times New Roman" w:hAnsi="Times New Roman" w:cs="Times New Roman"/>
                <w:color w:val="auto"/>
                <w:sz w:val="24"/>
              </w:rPr>
            </w:pPr>
          </w:p>
        </w:tc>
        <w:tc>
          <w:tcPr>
            <w:tcW w:w="1185" w:type="dxa"/>
            <w:vAlign w:val="center"/>
          </w:tcPr>
          <w:p>
            <w:pPr>
              <w:rPr>
                <w:rFonts w:ascii="Times New Roman" w:hAnsi="Times New Roman" w:cs="Times New Roman"/>
                <w:color w:val="auto"/>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3" w:hRule="atLeast"/>
        </w:trPr>
        <w:tc>
          <w:tcPr>
            <w:tcW w:w="7500" w:type="dxa"/>
            <w:gridSpan w:val="2"/>
            <w:vAlign w:val="center"/>
          </w:tcPr>
          <w:p>
            <w:pPr>
              <w:jc w:val="center"/>
              <w:rPr>
                <w:rFonts w:ascii="Times New Roman" w:hAnsi="Times New Roman" w:cs="Times New Roman"/>
                <w:color w:val="auto"/>
                <w:sz w:val="24"/>
              </w:rPr>
            </w:pPr>
            <w:r>
              <w:rPr>
                <w:rFonts w:hint="eastAsia" w:ascii="Times New Roman" w:hAnsi="Times New Roman" w:cs="Times New Roman"/>
                <w:b/>
                <w:bCs/>
                <w:color w:val="auto"/>
                <w:sz w:val="24"/>
              </w:rPr>
              <w:t>合计</w:t>
            </w:r>
          </w:p>
        </w:tc>
        <w:tc>
          <w:tcPr>
            <w:tcW w:w="1185" w:type="dxa"/>
            <w:vAlign w:val="center"/>
          </w:tcPr>
          <w:p>
            <w:pPr>
              <w:rPr>
                <w:rFonts w:ascii="Times New Roman" w:hAnsi="Times New Roman" w:cs="Times New Roman"/>
                <w:color w:val="auto"/>
                <w:sz w:val="24"/>
              </w:rPr>
            </w:pPr>
          </w:p>
        </w:tc>
        <w:tc>
          <w:tcPr>
            <w:tcW w:w="1185" w:type="dxa"/>
            <w:vAlign w:val="center"/>
          </w:tcPr>
          <w:p>
            <w:pPr>
              <w:rPr>
                <w:rFonts w:ascii="Times New Roman" w:hAnsi="Times New Roman" w:cs="Times New Roman"/>
                <w:color w:val="auto"/>
                <w:sz w:val="24"/>
              </w:rPr>
            </w:pPr>
          </w:p>
        </w:tc>
      </w:tr>
    </w:tbl>
    <w:p>
      <w:pPr>
        <w:rPr>
          <w:rFonts w:hint="default" w:ascii="Times New Roman" w:hAnsi="Times New Roman" w:cs="Times New Roman"/>
          <w:lang w:val="en-US" w:eastAsia="zh-Hans"/>
        </w:rPr>
      </w:pPr>
    </w:p>
    <w:sectPr>
      <w:pgSz w:w="11906" w:h="16838"/>
      <w:pgMar w:top="2098" w:right="1474" w:bottom="147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8BB2D"/>
    <w:multiLevelType w:val="singleLevel"/>
    <w:tmpl w:val="B2B8BB2D"/>
    <w:lvl w:ilvl="0" w:tentative="0">
      <w:start w:val="1"/>
      <w:numFmt w:val="decimal"/>
      <w:suff w:val="nothing"/>
      <w:lvlText w:val="（%1）"/>
      <w:lvlJc w:val="left"/>
    </w:lvl>
  </w:abstractNum>
  <w:abstractNum w:abstractNumId="1">
    <w:nsid w:val="DD554B05"/>
    <w:multiLevelType w:val="singleLevel"/>
    <w:tmpl w:val="DD554B05"/>
    <w:lvl w:ilvl="0" w:tentative="0">
      <w:start w:val="1"/>
      <w:numFmt w:val="decimal"/>
      <w:suff w:val="nothing"/>
      <w:lvlText w:val="（%1）"/>
      <w:lvlJc w:val="left"/>
    </w:lvl>
  </w:abstractNum>
  <w:abstractNum w:abstractNumId="2">
    <w:nsid w:val="41BE16A1"/>
    <w:multiLevelType w:val="singleLevel"/>
    <w:tmpl w:val="41BE16A1"/>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115BB6"/>
    <w:rsid w:val="177F50ED"/>
    <w:rsid w:val="1C463991"/>
    <w:rsid w:val="2F1131C8"/>
    <w:rsid w:val="370A4432"/>
    <w:rsid w:val="41396BC3"/>
    <w:rsid w:val="42971EFE"/>
    <w:rsid w:val="53B52B8D"/>
    <w:rsid w:val="54D92CF1"/>
    <w:rsid w:val="586600CC"/>
    <w:rsid w:val="5C785EE4"/>
    <w:rsid w:val="5CA334F6"/>
    <w:rsid w:val="64EE1FD9"/>
    <w:rsid w:val="659020F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娴娴</cp:lastModifiedBy>
  <cp:lastPrinted>2023-10-07T01:37:00Z</cp:lastPrinted>
  <dcterms:modified xsi:type="dcterms:W3CDTF">2024-06-12T06:26:50Z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9E9D059011994DA3BE4A3429EFE1645B</vt:lpwstr>
  </property>
</Properties>
</file>