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rPr>
      </w:pPr>
      <w:r>
        <w:rPr>
          <w:rFonts w:hint="eastAsia" w:ascii="黑体" w:hAnsi="黑体" w:eastAsia="黑体" w:cs="黑体"/>
          <w:sz w:val="32"/>
          <w:szCs w:val="40"/>
        </w:rPr>
        <w:t>附件7</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京港澳高速公路粤境清远佛冈至广州太和段</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改扩建项目白云区（大源街段）动迁服务</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公开比选评分细则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rPr>
      </w:pPr>
      <w:r>
        <w:rPr>
          <w:rFonts w:hint="eastAsia" w:ascii="黑体" w:hAnsi="黑体" w:eastAsia="黑体" w:cs="黑体"/>
          <w:sz w:val="32"/>
          <w:szCs w:val="40"/>
        </w:rPr>
        <w:t>一</w:t>
      </w:r>
      <w:r>
        <w:rPr>
          <w:rFonts w:hint="eastAsia" w:ascii="黑体" w:hAnsi="黑体" w:eastAsia="黑体" w:cs="黑体"/>
          <w:sz w:val="32"/>
          <w:szCs w:val="40"/>
          <w:lang w:eastAsia="zh-CN"/>
        </w:rPr>
        <w:t>、</w:t>
      </w:r>
      <w:r>
        <w:rPr>
          <w:rFonts w:hint="eastAsia" w:ascii="黑体" w:hAnsi="黑体" w:eastAsia="黑体" w:cs="黑体"/>
          <w:sz w:val="32"/>
          <w:szCs w:val="40"/>
        </w:rPr>
        <w:t>评标程序</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（一）资格审查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28"/>
          <w:szCs w:val="36"/>
        </w:rPr>
      </w:pPr>
      <w:r>
        <w:rPr>
          <w:rFonts w:hint="default" w:ascii="Times New Roman" w:hAnsi="Times New Roman" w:eastAsia="仿宋_GB2312" w:cs="Times New Roman"/>
          <w:sz w:val="28"/>
          <w:szCs w:val="36"/>
        </w:rPr>
        <w:t>1.法定资格要求</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1"/>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734"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default"/>
                <w:b/>
                <w:bCs w:val="0"/>
                <w:color w:val="auto"/>
                <w:sz w:val="28"/>
                <w:szCs w:val="28"/>
                <w:vertAlign w:val="baseline"/>
                <w:lang w:val="en-US" w:eastAsia="zh-CN"/>
              </w:rPr>
            </w:pPr>
            <w:r>
              <w:rPr>
                <w:rFonts w:hint="eastAsia"/>
                <w:b/>
                <w:bCs w:val="0"/>
                <w:color w:val="auto"/>
                <w:sz w:val="28"/>
                <w:szCs w:val="28"/>
                <w:vertAlign w:val="baseline"/>
                <w:lang w:val="en-US" w:eastAsia="zh-CN"/>
              </w:rPr>
              <w:t>评审点要求概况</w:t>
            </w:r>
          </w:p>
        </w:tc>
        <w:tc>
          <w:tcPr>
            <w:tcW w:w="3265"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default"/>
                <w:b/>
                <w:bCs w:val="0"/>
                <w:color w:val="auto"/>
                <w:sz w:val="28"/>
                <w:szCs w:val="28"/>
                <w:vertAlign w:val="baseline"/>
                <w:lang w:val="en-US" w:eastAsia="zh-CN"/>
              </w:rPr>
            </w:pPr>
            <w:r>
              <w:rPr>
                <w:rFonts w:hint="eastAsia"/>
                <w:b/>
                <w:bCs w:val="0"/>
                <w:color w:val="auto"/>
                <w:sz w:val="28"/>
                <w:szCs w:val="28"/>
                <w:vertAlign w:val="baseline"/>
                <w:lang w:val="en-US"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具有独立承担民事责任的能力</w:t>
            </w:r>
          </w:p>
        </w:tc>
        <w:tc>
          <w:tcPr>
            <w:tcW w:w="3265"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有依法缴纳税收和社会保障资金的良好记录</w:t>
            </w:r>
          </w:p>
        </w:tc>
        <w:tc>
          <w:tcPr>
            <w:tcW w:w="3265"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提供投标截止日前6个月内任意1个月依法缴纳税收和社会保障资金的相关材料。 如依法免税或不需要缴纳社会保障资金的， 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具有良好的商业信誉和健全的财务会计制度</w:t>
            </w:r>
          </w:p>
        </w:tc>
        <w:tc>
          <w:tcPr>
            <w:tcW w:w="3265"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供应商必须具有良好的商业信誉和健全的财务会计制度（提供2022年度财务状况报告或基本开户行出具的资信证明）。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参加采购活动前3年内，在经营活动中没有重大违法记录</w:t>
            </w:r>
          </w:p>
        </w:tc>
        <w:tc>
          <w:tcPr>
            <w:tcW w:w="3265"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参照公开比选申请人声明相关承诺格式内容。 重大违法记录，是指供应商因违法经营受到刑事处罚或者责令停产停业、吊销许可证或者执照</w:t>
            </w:r>
            <w:bookmarkStart w:id="0" w:name="_GoBack"/>
            <w:bookmarkEnd w:id="0"/>
            <w:r>
              <w:rPr>
                <w:rFonts w:hint="eastAsia"/>
                <w:b w:val="0"/>
                <w:bCs/>
                <w:color w:val="auto"/>
                <w:sz w:val="24"/>
                <w:szCs w:val="24"/>
                <w:vertAlign w:val="baseline"/>
                <w:lang w:val="en-US" w:eastAsia="zh-CN"/>
              </w:rPr>
              <w:t>、较大数额罚款等行政处罚。（根据财库〔2022〕3号文，“较大数额罚款”认定为200万元以上的罚款，法律、行政法规以及国务院有关部门明确规定相关领域“较大数额罚款”标准高于200万元的，从其规定）</w:t>
            </w:r>
          </w:p>
        </w:tc>
      </w:tr>
    </w:tbl>
    <w:p>
      <w:pPr>
        <w:rPr>
          <w:rFonts w:hint="eastAsia"/>
          <w:b/>
          <w:bCs w:val="0"/>
          <w:color w:val="auto"/>
          <w:sz w:val="28"/>
          <w:szCs w:val="28"/>
          <w:lang w:val="en-US" w:eastAsia="zh-CN"/>
        </w:rPr>
      </w:pPr>
      <w:r>
        <w:rPr>
          <w:rFonts w:hint="eastAsia"/>
          <w:b/>
          <w:bCs w:val="0"/>
          <w:color w:val="auto"/>
          <w:sz w:val="28"/>
          <w:szCs w:val="28"/>
          <w:lang w:val="en-US" w:eastAsia="zh-CN"/>
        </w:rPr>
        <w:t>2.落实政府采购政策需满足的资格要求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2"/>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ind w:left="0" w:leftChars="0" w:firstLine="0" w:firstLineChars="0"/>
              <w:textAlignment w:val="auto"/>
              <w:rPr>
                <w:rFonts w:hint="default"/>
                <w:b w:val="0"/>
                <w:bCs/>
                <w:color w:val="auto"/>
                <w:sz w:val="28"/>
                <w:szCs w:val="28"/>
                <w:vertAlign w:val="baseline"/>
                <w:lang w:val="en-US" w:eastAsia="zh-CN"/>
              </w:rPr>
            </w:pPr>
            <w:r>
              <w:rPr>
                <w:rFonts w:hint="eastAsia"/>
                <w:b/>
                <w:bCs w:val="0"/>
                <w:color w:val="auto"/>
                <w:sz w:val="28"/>
                <w:szCs w:val="28"/>
                <w:vertAlign w:val="baseline"/>
                <w:lang w:val="en-US" w:eastAsia="zh-CN"/>
              </w:rPr>
              <w:t>评审点要求概况</w:t>
            </w:r>
          </w:p>
        </w:tc>
        <w:tc>
          <w:tcPr>
            <w:tcW w:w="3254"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ind w:left="0" w:leftChars="0" w:firstLine="0" w:firstLineChars="0"/>
              <w:textAlignment w:val="auto"/>
              <w:rPr>
                <w:rFonts w:hint="eastAsia"/>
                <w:b w:val="0"/>
                <w:bCs/>
                <w:color w:val="auto"/>
                <w:sz w:val="28"/>
                <w:szCs w:val="28"/>
                <w:vertAlign w:val="baseline"/>
                <w:lang w:val="en-US" w:eastAsia="zh-CN"/>
              </w:rPr>
            </w:pPr>
            <w:r>
              <w:rPr>
                <w:rFonts w:hint="eastAsia"/>
                <w:b/>
                <w:bCs w:val="0"/>
                <w:color w:val="auto"/>
                <w:sz w:val="28"/>
                <w:szCs w:val="28"/>
                <w:vertAlign w:val="baseline"/>
                <w:lang w:val="en-US"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本采购包专门面向中小企业采购</w:t>
            </w:r>
          </w:p>
        </w:tc>
        <w:tc>
          <w:tcPr>
            <w:tcW w:w="325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参与的供应商（联合体）服务全部由符合政策要求的中小企业承接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bCs w:val="0"/>
          <w:color w:val="auto"/>
          <w:sz w:val="28"/>
          <w:szCs w:val="28"/>
          <w:lang w:val="en-US" w:eastAsia="zh-CN"/>
        </w:rPr>
      </w:pPr>
      <w:r>
        <w:rPr>
          <w:rFonts w:hint="eastAsia"/>
          <w:b/>
          <w:bCs w:val="0"/>
          <w:color w:val="auto"/>
          <w:sz w:val="28"/>
          <w:szCs w:val="28"/>
          <w:lang w:val="en-US" w:eastAsia="zh-CN"/>
        </w:rPr>
        <w:t>3.特定资格要求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6"/>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ind w:left="0" w:leftChars="0" w:firstLine="0" w:firstLineChars="0"/>
              <w:textAlignment w:val="auto"/>
              <w:rPr>
                <w:rFonts w:hint="eastAsia" w:ascii="Times New Roman" w:hAnsi="Times New Roman" w:eastAsia="宋体" w:cs="Times New Roman"/>
                <w:b w:val="0"/>
                <w:bCs/>
                <w:color w:val="auto"/>
                <w:kern w:val="2"/>
                <w:sz w:val="28"/>
                <w:szCs w:val="28"/>
                <w:vertAlign w:val="baseline"/>
                <w:lang w:val="en-US" w:eastAsia="zh-CN" w:bidi="ar-SA"/>
              </w:rPr>
            </w:pPr>
            <w:r>
              <w:rPr>
                <w:rFonts w:hint="eastAsia"/>
                <w:b/>
                <w:bCs w:val="0"/>
                <w:color w:val="auto"/>
                <w:sz w:val="28"/>
                <w:szCs w:val="28"/>
                <w:vertAlign w:val="baseline"/>
                <w:lang w:val="en-US" w:eastAsia="zh-CN"/>
              </w:rPr>
              <w:t>评审点要求概况</w:t>
            </w:r>
          </w:p>
        </w:tc>
        <w:tc>
          <w:tcPr>
            <w:tcW w:w="3539"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ind w:left="0" w:leftChars="0" w:firstLine="0" w:firstLineChars="0"/>
              <w:textAlignment w:val="auto"/>
              <w:rPr>
                <w:rFonts w:hint="eastAsia" w:ascii="Times New Roman" w:hAnsi="Times New Roman" w:eastAsia="宋体" w:cs="Times New Roman"/>
                <w:b w:val="0"/>
                <w:bCs/>
                <w:color w:val="auto"/>
                <w:kern w:val="2"/>
                <w:sz w:val="28"/>
                <w:szCs w:val="28"/>
                <w:vertAlign w:val="baseline"/>
                <w:lang w:val="en-US" w:eastAsia="zh-CN" w:bidi="ar-SA"/>
              </w:rPr>
            </w:pPr>
            <w:r>
              <w:rPr>
                <w:rFonts w:hint="eastAsia"/>
                <w:b/>
                <w:bCs w:val="0"/>
                <w:color w:val="auto"/>
                <w:sz w:val="28"/>
                <w:szCs w:val="28"/>
                <w:vertAlign w:val="baseline"/>
                <w:lang w:val="en-US"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信用记录</w:t>
            </w:r>
          </w:p>
        </w:tc>
        <w:tc>
          <w:tcPr>
            <w:tcW w:w="353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供应商必须符合法律、行政法规规定的其他条件</w:t>
            </w:r>
          </w:p>
        </w:tc>
        <w:tc>
          <w:tcPr>
            <w:tcW w:w="353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440" w:lineRule="exact"/>
              <w:textAlignment w:val="auto"/>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相关承诺函件由供应商自拟提供。</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二、本项目的分值构成：</w:t>
      </w:r>
    </w:p>
    <w:tbl>
      <w:tblPr>
        <w:tblStyle w:val="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评审部分</w:t>
            </w:r>
          </w:p>
        </w:tc>
        <w:tc>
          <w:tcPr>
            <w:tcW w:w="6235"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lang w:val="en-US" w:eastAsia="zh-CN"/>
              </w:rPr>
              <w:t>报价</w:t>
            </w:r>
            <w:r>
              <w:rPr>
                <w:rFonts w:hint="eastAsia" w:cs="宋体"/>
                <w:b/>
              </w:rPr>
              <w:t>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eastAsiaTheme="minorEastAsia"/>
                <w:szCs w:val="21"/>
                <w:lang w:val="en-US" w:eastAsia="zh-CN"/>
              </w:rPr>
            </w:pPr>
            <w:r>
              <w:rPr>
                <w:rFonts w:hint="eastAsia" w:cs="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b/>
                <w:szCs w:val="21"/>
              </w:rPr>
            </w:pPr>
            <w:r>
              <w:rPr>
                <w:rFonts w:hint="eastAsia" w:cs="宋体"/>
                <w:b/>
              </w:rPr>
              <w:t>商务部分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eastAsiaTheme="minorEastAsia"/>
                <w:szCs w:val="21"/>
                <w:lang w:val="en-US" w:eastAsia="zh-CN"/>
              </w:rPr>
            </w:pPr>
            <w:r>
              <w:rPr>
                <w:rFonts w:hint="eastAsia" w:cs="宋体"/>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lang w:val="en-US" w:eastAsia="zh-CN"/>
              </w:rPr>
              <w:t>技术</w:t>
            </w:r>
            <w:r>
              <w:rPr>
                <w:rFonts w:hint="eastAsia" w:cs="宋体"/>
                <w:b/>
              </w:rPr>
              <w:t>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eastAsiaTheme="minorEastAsia"/>
                <w:szCs w:val="21"/>
                <w:lang w:val="en-US" w:eastAsia="zh-CN"/>
              </w:rPr>
            </w:pPr>
            <w:r>
              <w:rPr>
                <w:rFonts w:hint="eastAsia" w:cs="宋体"/>
                <w:lang w:val="en-US" w:eastAsia="zh-CN"/>
              </w:rPr>
              <w:t>40</w:t>
            </w:r>
          </w:p>
        </w:tc>
      </w:tr>
    </w:tbl>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三、报价得分（10.00分）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551"/>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b/>
                <w:bCs w:val="0"/>
                <w:color w:val="auto"/>
                <w:sz w:val="28"/>
                <w:szCs w:val="28"/>
                <w:vertAlign w:val="baseline"/>
                <w:lang w:val="en-US" w:eastAsia="zh-CN"/>
              </w:rPr>
            </w:pPr>
            <w:r>
              <w:rPr>
                <w:rFonts w:hint="eastAsia" w:ascii="宋体" w:hAnsi="宋体"/>
                <w:b/>
                <w:bCs w:val="0"/>
                <w:color w:val="auto"/>
                <w:sz w:val="28"/>
                <w:szCs w:val="28"/>
                <w:vertAlign w:val="baseline"/>
                <w:lang w:val="en-US" w:eastAsia="zh-CN"/>
              </w:rPr>
              <w:t>评审因素</w:t>
            </w:r>
          </w:p>
        </w:tc>
        <w:tc>
          <w:tcPr>
            <w:tcW w:w="856"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b/>
                <w:bCs w:val="0"/>
                <w:color w:val="auto"/>
                <w:sz w:val="28"/>
                <w:szCs w:val="28"/>
                <w:vertAlign w:val="baseline"/>
                <w:lang w:val="en-US" w:eastAsia="zh-CN"/>
              </w:rPr>
            </w:pPr>
            <w:r>
              <w:rPr>
                <w:rFonts w:hint="eastAsia" w:ascii="宋体" w:hAnsi="宋体"/>
                <w:b/>
                <w:bCs w:val="0"/>
                <w:color w:val="auto"/>
                <w:sz w:val="28"/>
                <w:szCs w:val="28"/>
                <w:vertAlign w:val="baseline"/>
                <w:lang w:val="en-US" w:eastAsia="zh-CN"/>
              </w:rPr>
              <w:t>评审分值</w:t>
            </w:r>
          </w:p>
        </w:tc>
        <w:tc>
          <w:tcPr>
            <w:tcW w:w="2979"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b/>
                <w:bCs w:val="0"/>
                <w:color w:val="auto"/>
                <w:sz w:val="28"/>
                <w:szCs w:val="28"/>
                <w:vertAlign w:val="baseline"/>
                <w:lang w:val="en-US" w:eastAsia="zh-CN"/>
              </w:rPr>
            </w:pPr>
            <w:r>
              <w:rPr>
                <w:rFonts w:hint="eastAsia" w:ascii="宋体" w:hAnsi="宋体"/>
                <w:b/>
                <w:bCs w:val="0"/>
                <w:color w:val="auto"/>
                <w:sz w:val="28"/>
                <w:szCs w:val="28"/>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投标报价得分</w:t>
            </w:r>
          </w:p>
        </w:tc>
        <w:tc>
          <w:tcPr>
            <w:tcW w:w="856"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 xml:space="preserve">10分  </w:t>
            </w:r>
          </w:p>
        </w:tc>
        <w:tc>
          <w:tcPr>
            <w:tcW w:w="2979"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四、商务部分（50.00分）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937"/>
        <w:gridCol w:w="837"/>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7"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val="0"/>
                <w:color w:val="auto"/>
                <w:kern w:val="2"/>
                <w:sz w:val="28"/>
                <w:szCs w:val="28"/>
                <w:vertAlign w:val="baseline"/>
                <w:lang w:val="en-US" w:eastAsia="zh-CN" w:bidi="ar-SA"/>
              </w:rPr>
            </w:pPr>
            <w:r>
              <w:rPr>
                <w:rFonts w:hint="eastAsia" w:ascii="宋体" w:hAnsi="宋体"/>
                <w:b/>
                <w:bCs w:val="0"/>
                <w:color w:val="auto"/>
                <w:sz w:val="28"/>
                <w:szCs w:val="28"/>
                <w:vertAlign w:val="baseline"/>
                <w:lang w:val="en-US" w:eastAsia="zh-CN"/>
              </w:rPr>
              <w:t>评审因素</w:t>
            </w:r>
          </w:p>
        </w:tc>
        <w:tc>
          <w:tcPr>
            <w:tcW w:w="517"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val="0"/>
                <w:color w:val="auto"/>
                <w:kern w:val="2"/>
                <w:sz w:val="28"/>
                <w:szCs w:val="28"/>
                <w:vertAlign w:val="baseline"/>
                <w:lang w:val="en-US" w:eastAsia="zh-CN" w:bidi="ar-SA"/>
              </w:rPr>
            </w:pPr>
            <w:r>
              <w:rPr>
                <w:rFonts w:hint="eastAsia" w:ascii="宋体" w:hAnsi="宋体"/>
                <w:b/>
                <w:bCs w:val="0"/>
                <w:color w:val="auto"/>
                <w:sz w:val="28"/>
                <w:szCs w:val="28"/>
                <w:vertAlign w:val="baseline"/>
                <w:lang w:val="en-US" w:eastAsia="zh-CN"/>
              </w:rPr>
              <w:t>评审分值</w:t>
            </w:r>
          </w:p>
        </w:tc>
        <w:tc>
          <w:tcPr>
            <w:tcW w:w="46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Times New Roman"/>
                <w:b/>
                <w:bCs w:val="0"/>
                <w:color w:val="auto"/>
                <w:kern w:val="2"/>
                <w:sz w:val="28"/>
                <w:szCs w:val="28"/>
                <w:vertAlign w:val="baseline"/>
                <w:lang w:val="en-US" w:eastAsia="zh-CN" w:bidi="ar-SA"/>
              </w:rPr>
            </w:pPr>
            <w:r>
              <w:rPr>
                <w:rFonts w:hint="eastAsia" w:ascii="宋体" w:hAnsi="宋体" w:cs="Times New Roman"/>
                <w:b/>
                <w:bCs w:val="0"/>
                <w:color w:val="auto"/>
                <w:kern w:val="2"/>
                <w:sz w:val="28"/>
                <w:szCs w:val="28"/>
                <w:vertAlign w:val="baseline"/>
                <w:lang w:val="en-US" w:eastAsia="zh-CN" w:bidi="ar-SA"/>
              </w:rPr>
              <w:t>客观分</w:t>
            </w:r>
          </w:p>
        </w:tc>
        <w:tc>
          <w:tcPr>
            <w:tcW w:w="3043"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val="0"/>
                <w:color w:val="auto"/>
                <w:sz w:val="28"/>
                <w:szCs w:val="28"/>
                <w:vertAlign w:val="baseline"/>
                <w:lang w:val="en-US" w:eastAsia="zh-CN"/>
              </w:rPr>
            </w:pPr>
            <w:r>
              <w:rPr>
                <w:rFonts w:hint="eastAsia" w:ascii="宋体" w:hAnsi="宋体"/>
                <w:b/>
                <w:bCs w:val="0"/>
                <w:color w:val="auto"/>
                <w:sz w:val="28"/>
                <w:szCs w:val="28"/>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业绩</w:t>
            </w:r>
          </w:p>
        </w:tc>
        <w:tc>
          <w:tcPr>
            <w:tcW w:w="517"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8分</w:t>
            </w:r>
          </w:p>
        </w:tc>
        <w:tc>
          <w:tcPr>
            <w:tcW w:w="46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是</w:t>
            </w:r>
          </w:p>
        </w:tc>
        <w:tc>
          <w:tcPr>
            <w:tcW w:w="3043" w:type="pc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投标人自2019年1月1日至今（以合同签约时间为准）承接动迁咨询服务业绩：每项得4分，最高得8分。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注：提供合同协议书复印件，资料须真实，在公示期内采购人有权通过网络或现场实地考察。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企业荣誉</w:t>
            </w:r>
          </w:p>
        </w:tc>
        <w:tc>
          <w:tcPr>
            <w:tcW w:w="517"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6分</w:t>
            </w:r>
          </w:p>
        </w:tc>
        <w:tc>
          <w:tcPr>
            <w:tcW w:w="462"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是</w:t>
            </w:r>
          </w:p>
        </w:tc>
        <w:tc>
          <w:tcPr>
            <w:tcW w:w="3043"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（1）投标人投标人自2019年1月1日至投标截止（以证书颁发时间为准），获得政府主管部门（如工商局等）颁发的守合同类别的良好评价的证书，得3分。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（2）投标人具有AAA级中国企业信用等级证书，且在有效期内的得3分，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注：提供荣誉证书复印件，原件核查。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项目负责人</w:t>
            </w:r>
          </w:p>
        </w:tc>
        <w:tc>
          <w:tcPr>
            <w:tcW w:w="517"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5分</w:t>
            </w:r>
          </w:p>
        </w:tc>
        <w:tc>
          <w:tcPr>
            <w:tcW w:w="462"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是</w:t>
            </w:r>
          </w:p>
        </w:tc>
        <w:tc>
          <w:tcPr>
            <w:tcW w:w="3043"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项目经理具有大专或以上学历和具有中级职称工程师证书（或以上）且工作年限具有5年以上，得3分。项目经理同时</w:t>
            </w:r>
            <w:r>
              <w:rPr>
                <w:rFonts w:hint="eastAsia" w:asciiTheme="minorEastAsia" w:hAnsiTheme="minorEastAsia" w:eastAsiaTheme="minorEastAsia"/>
                <w:color w:val="000000" w:themeColor="text1"/>
                <w:spacing w:val="9"/>
                <w:szCs w:val="21"/>
                <w:highlight w:val="none"/>
                <w:u w:val="none"/>
                <w14:textFill>
                  <w14:solidFill>
                    <w14:schemeClr w14:val="tx1"/>
                  </w14:solidFill>
                </w14:textFill>
              </w:rPr>
              <w:t>具备</w:t>
            </w:r>
            <w:r>
              <w:rPr>
                <w:rFonts w:hint="eastAsia" w:ascii="宋体" w:hAnsi="宋体"/>
                <w:b w:val="0"/>
                <w:bCs/>
                <w:color w:val="auto"/>
                <w:sz w:val="24"/>
                <w:szCs w:val="24"/>
                <w:highlight w:val="none"/>
                <w:vertAlign w:val="baseline"/>
                <w:lang w:val="en-US" w:eastAsia="zh-CN"/>
              </w:rPr>
              <w:t>二级或以上级别的注册建造师并持有项目负责人安全生产考核合格证（B类）（或能够提供广东省建筑施工企业管理人员安全生产考核信息系统安全生产管理人员证书信息的打印页），得2分。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注：①提供对应的证照、提供学历证明及身份证复印件，及近3个月社保（2023年07月-2023年09月）在本单位购买社保的证明复印件。不在本单位购买社保的不得分。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项目管理机构能力</w:t>
            </w:r>
          </w:p>
        </w:tc>
        <w:tc>
          <w:tcPr>
            <w:tcW w:w="517"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18分</w:t>
            </w:r>
          </w:p>
        </w:tc>
        <w:tc>
          <w:tcPr>
            <w:tcW w:w="462"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是</w:t>
            </w:r>
          </w:p>
        </w:tc>
        <w:tc>
          <w:tcPr>
            <w:tcW w:w="3043" w:type="pc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投标人拟派项目管理团队（除项目负责人外的人员）：</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技术负责人：具有工程相关专业高级工程师（或以上）得3分；</w:t>
            </w:r>
          </w:p>
          <w:p>
            <w:pPr>
              <w:pStyle w:val="2"/>
              <w:numPr>
                <w:ilvl w:val="0"/>
                <w:numId w:val="0"/>
              </w:numPr>
              <w:ind w:leftChars="0"/>
              <w:rPr>
                <w:rFonts w:hint="default"/>
                <w:lang w:val="en-US" w:eastAsia="zh-CN"/>
              </w:rPr>
            </w:pPr>
            <w:r>
              <w:rPr>
                <w:rFonts w:hint="eastAsia" w:ascii="宋体" w:hAnsi="宋体" w:eastAsiaTheme="minorEastAsia" w:cstheme="minorBidi"/>
                <w:b w:val="0"/>
                <w:bCs/>
                <w:color w:val="auto"/>
                <w:kern w:val="2"/>
                <w:sz w:val="24"/>
                <w:szCs w:val="24"/>
                <w:highlight w:val="none"/>
                <w:vertAlign w:val="baseline"/>
                <w:lang w:val="en-US" w:eastAsia="zh-CN" w:bidi="ar-SA"/>
              </w:rPr>
              <w:t>2.安全负责人：具有注册安全工程师注册证书中级（或以上）得3分；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2.具有标准员1人、劳务员1人、机械员1人、资料员1人、材料员1人、安全员1人，得12分。每少1人扣2分。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注：①提供对应的证照及身份证复印件，及近3个月社保（2023年07月-2023年09月）在本单位购买社保的证明复印件。不在本单位购买社保的不得分。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本项目实施时，采购人有权定期抽查上述人员的到场率，如达不到每月20天的出场率，采购人有权按相关法规进行处理。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法务服务水平</w:t>
            </w:r>
          </w:p>
        </w:tc>
        <w:tc>
          <w:tcPr>
            <w:tcW w:w="517"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4分</w:t>
            </w:r>
          </w:p>
        </w:tc>
        <w:tc>
          <w:tcPr>
            <w:tcW w:w="46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是</w:t>
            </w:r>
          </w:p>
        </w:tc>
        <w:tc>
          <w:tcPr>
            <w:tcW w:w="3043" w:type="pc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投标人有长聘的律师事务所，具有年度法律顾问合同且在有效期内的，得4分。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注：提供法律顾问聘用合同协议书复印件。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ISO管理体系</w:t>
            </w:r>
          </w:p>
        </w:tc>
        <w:tc>
          <w:tcPr>
            <w:tcW w:w="517"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9分</w:t>
            </w:r>
          </w:p>
        </w:tc>
        <w:tc>
          <w:tcPr>
            <w:tcW w:w="46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是</w:t>
            </w:r>
          </w:p>
        </w:tc>
        <w:tc>
          <w:tcPr>
            <w:tcW w:w="3043" w:type="pc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投标人具有ISO管理体系认证证书：环境管理体系、质量管理体系、职业健康安全管理体系</w:t>
            </w:r>
            <w:r>
              <w:rPr>
                <w:rFonts w:hint="eastAsia" w:ascii="宋体" w:hAnsi="宋体"/>
                <w:b w:val="0"/>
                <w:bCs/>
                <w:strike w:val="0"/>
                <w:dstrike w:val="0"/>
                <w:color w:val="auto"/>
                <w:sz w:val="24"/>
                <w:szCs w:val="24"/>
                <w:highlight w:val="none"/>
                <w:vertAlign w:val="baseline"/>
                <w:lang w:val="en-US" w:eastAsia="zh-CN"/>
              </w:rPr>
              <w:t>，</w:t>
            </w:r>
            <w:r>
              <w:rPr>
                <w:rFonts w:hint="eastAsia" w:ascii="宋体" w:hAnsi="宋体"/>
                <w:b w:val="0"/>
                <w:bCs/>
                <w:color w:val="auto"/>
                <w:sz w:val="24"/>
                <w:szCs w:val="24"/>
                <w:highlight w:val="none"/>
                <w:vertAlign w:val="baseline"/>
                <w:lang w:val="en-US" w:eastAsia="zh-CN"/>
              </w:rPr>
              <w:t>且均在有效期内的，得</w:t>
            </w:r>
            <w:r>
              <w:rPr>
                <w:rFonts w:hint="eastAsia" w:ascii="宋体" w:hAnsi="宋体"/>
                <w:b w:val="0"/>
                <w:bCs/>
                <w:color w:val="auto"/>
                <w:sz w:val="24"/>
                <w:szCs w:val="24"/>
                <w:highlight w:val="none"/>
                <w:u w:val="none"/>
                <w:vertAlign w:val="baseline"/>
                <w:lang w:val="en-US" w:eastAsia="zh-CN"/>
              </w:rPr>
              <w:t>9</w:t>
            </w:r>
            <w:r>
              <w:rPr>
                <w:rFonts w:hint="eastAsia" w:ascii="宋体" w:hAnsi="宋体"/>
                <w:b w:val="0"/>
                <w:bCs/>
                <w:color w:val="auto"/>
                <w:sz w:val="24"/>
                <w:szCs w:val="24"/>
                <w:highlight w:val="none"/>
                <w:vertAlign w:val="baseline"/>
                <w:lang w:val="en-US" w:eastAsia="zh-CN"/>
              </w:rPr>
              <w:t>分。以上证书缺一个扣3分，扣完为止。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highlight w:val="none"/>
                <w:vertAlign w:val="baseline"/>
                <w:lang w:val="en-US" w:eastAsia="zh-CN"/>
              </w:rPr>
            </w:pPr>
            <w:r>
              <w:rPr>
                <w:rFonts w:hint="eastAsia" w:ascii="宋体" w:hAnsi="宋体"/>
                <w:b w:val="0"/>
                <w:bCs/>
                <w:color w:val="auto"/>
                <w:sz w:val="24"/>
                <w:szCs w:val="24"/>
                <w:highlight w:val="none"/>
                <w:vertAlign w:val="baseline"/>
                <w:lang w:val="en-US" w:eastAsia="zh-CN"/>
              </w:rPr>
              <w:t>注：须同时提供证书复印件及认证单位官网查询结果截图打印件，证书原件核查。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五、技术部分（40.00分）</w:t>
      </w: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1517"/>
        <w:gridCol w:w="710"/>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val="0"/>
                <w:color w:val="auto"/>
                <w:kern w:val="2"/>
                <w:sz w:val="28"/>
                <w:szCs w:val="28"/>
                <w:vertAlign w:val="baseline"/>
                <w:lang w:val="en-US" w:eastAsia="zh-CN" w:bidi="ar-SA"/>
              </w:rPr>
            </w:pPr>
            <w:r>
              <w:rPr>
                <w:rFonts w:hint="eastAsia" w:ascii="宋体" w:hAnsi="宋体"/>
                <w:b/>
                <w:bCs w:val="0"/>
                <w:color w:val="auto"/>
                <w:sz w:val="28"/>
                <w:szCs w:val="28"/>
                <w:vertAlign w:val="baseline"/>
                <w:lang w:val="en-US" w:eastAsia="zh-CN"/>
              </w:rPr>
              <w:t>评审因素</w:t>
            </w:r>
          </w:p>
        </w:tc>
        <w:tc>
          <w:tcPr>
            <w:tcW w:w="83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val="0"/>
                <w:color w:val="auto"/>
                <w:kern w:val="2"/>
                <w:sz w:val="28"/>
                <w:szCs w:val="28"/>
                <w:vertAlign w:val="baseline"/>
                <w:lang w:val="en-US" w:eastAsia="zh-CN" w:bidi="ar-SA"/>
              </w:rPr>
            </w:pPr>
            <w:r>
              <w:rPr>
                <w:rFonts w:hint="eastAsia" w:ascii="宋体" w:hAnsi="宋体"/>
                <w:b/>
                <w:bCs w:val="0"/>
                <w:color w:val="auto"/>
                <w:sz w:val="28"/>
                <w:szCs w:val="28"/>
                <w:vertAlign w:val="baseline"/>
                <w:lang w:val="en-US" w:eastAsia="zh-CN"/>
              </w:rPr>
              <w:t>评审分值</w:t>
            </w:r>
          </w:p>
        </w:tc>
        <w:tc>
          <w:tcPr>
            <w:tcW w:w="39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val="0"/>
                <w:color w:val="auto"/>
                <w:kern w:val="2"/>
                <w:sz w:val="28"/>
                <w:szCs w:val="28"/>
                <w:vertAlign w:val="baseline"/>
                <w:lang w:val="en-US" w:eastAsia="zh-CN" w:bidi="ar-SA"/>
              </w:rPr>
            </w:pPr>
            <w:r>
              <w:rPr>
                <w:rFonts w:hint="eastAsia" w:ascii="宋体" w:hAnsi="宋体" w:cs="Times New Roman"/>
                <w:b/>
                <w:bCs w:val="0"/>
                <w:color w:val="auto"/>
                <w:kern w:val="2"/>
                <w:sz w:val="28"/>
                <w:szCs w:val="28"/>
                <w:vertAlign w:val="baseline"/>
                <w:lang w:val="en-US" w:eastAsia="zh-CN" w:bidi="ar-SA"/>
              </w:rPr>
              <w:t>客观分</w:t>
            </w:r>
          </w:p>
        </w:tc>
        <w:tc>
          <w:tcPr>
            <w:tcW w:w="2520"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val="0"/>
                <w:color w:val="auto"/>
                <w:kern w:val="2"/>
                <w:sz w:val="28"/>
                <w:szCs w:val="28"/>
                <w:vertAlign w:val="baseline"/>
                <w:lang w:val="en-US" w:eastAsia="zh-CN" w:bidi="ar-SA"/>
              </w:rPr>
            </w:pPr>
            <w:r>
              <w:rPr>
                <w:rFonts w:hint="eastAsia" w:ascii="宋体" w:hAnsi="宋体"/>
                <w:b/>
                <w:bCs w:val="0"/>
                <w:color w:val="auto"/>
                <w:sz w:val="28"/>
                <w:szCs w:val="28"/>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对采购文件的响应程度</w:t>
            </w:r>
          </w:p>
        </w:tc>
        <w:tc>
          <w:tcPr>
            <w:tcW w:w="83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10分</w:t>
            </w:r>
          </w:p>
        </w:tc>
        <w:tc>
          <w:tcPr>
            <w:tcW w:w="39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p>
        </w:tc>
        <w:tc>
          <w:tcPr>
            <w:tcW w:w="2520" w:type="pc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响应采购人的全部需求，得10分。投标人根据自身的实际情况，列出不能响应的条款，每不响应1条扣1分，扣完为止。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对项目的理解及合理化建议</w:t>
            </w:r>
          </w:p>
        </w:tc>
        <w:tc>
          <w:tcPr>
            <w:tcW w:w="83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10分</w:t>
            </w:r>
          </w:p>
        </w:tc>
        <w:tc>
          <w:tcPr>
            <w:tcW w:w="39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p>
        </w:tc>
        <w:tc>
          <w:tcPr>
            <w:tcW w:w="2520" w:type="pc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优：对本项目周边环境有深入详尽的研究，完全正确理解采购人的意图，能列举响应供应商类似项目案例，有针对性的合理化建议，得10分；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良：对本项目周边环境有较详细的研究，部分理解采购人的意图，有一般化的合理化建议，得8分；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中：对本项目周边环境有部分的研究，部分理解采购人的意图，有合理化建议，得5分；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差：对本项目周边环境有粗略的研究，不能正确理解采购人的意图，有合理化建议但合理化建议不可行，得2分；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项目总进度计划</w:t>
            </w:r>
          </w:p>
        </w:tc>
        <w:tc>
          <w:tcPr>
            <w:tcW w:w="83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10分</w:t>
            </w:r>
          </w:p>
        </w:tc>
        <w:tc>
          <w:tcPr>
            <w:tcW w:w="39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p>
        </w:tc>
        <w:tc>
          <w:tcPr>
            <w:tcW w:w="2520" w:type="pc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优：有编制项目总进度计划表，且工期比招标文件要求提前10天或以上，得10分。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良：有编制项目总进度计划表，且工期比招标文件要求提前8-9天的，得8分。 中：有编制项目总进度计划表，且工期比招标文件要求提前6-7天的，得5分。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差：有编制项目总进度计划表，但工期没有提前的，得3分。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没有编制项目总进度计划表得0分。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管理人员投入</w:t>
            </w:r>
          </w:p>
        </w:tc>
        <w:tc>
          <w:tcPr>
            <w:tcW w:w="83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10分</w:t>
            </w:r>
          </w:p>
        </w:tc>
        <w:tc>
          <w:tcPr>
            <w:tcW w:w="39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color w:val="auto"/>
                <w:sz w:val="24"/>
                <w:szCs w:val="24"/>
                <w:vertAlign w:val="baseline"/>
                <w:lang w:val="en-US" w:eastAsia="zh-CN"/>
              </w:rPr>
            </w:pPr>
          </w:p>
        </w:tc>
        <w:tc>
          <w:tcPr>
            <w:tcW w:w="2520" w:type="pc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优：对本项目的管理人员投入有编制实施方案的，且承诺工作高峰期拟投入的管理人员数量多于等于10人，得10分。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良：对本项目的管理人员投入有编制实施方案的，且承诺工作高峰期拟投入的管理人员数量为8人，得8分。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中：对本项目的管理人员投入有编制实施方案的，且承诺工作高峰期拟投入的管理人员数量为6人，得5分。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差：对本项目的管理人员投入有编制实施方案的，得2分。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val="0"/>
                <w:bCs/>
                <w:color w:val="auto"/>
                <w:sz w:val="24"/>
                <w:szCs w:val="24"/>
                <w:vertAlign w:val="baseline"/>
                <w:lang w:val="en-US" w:eastAsia="zh-CN"/>
              </w:rPr>
            </w:pPr>
            <w:r>
              <w:rPr>
                <w:rFonts w:hint="eastAsia" w:ascii="宋体" w:hAnsi="宋体"/>
                <w:b w:val="0"/>
                <w:bCs/>
                <w:color w:val="auto"/>
                <w:sz w:val="24"/>
                <w:szCs w:val="24"/>
                <w:vertAlign w:val="baseline"/>
                <w:lang w:val="en-US" w:eastAsia="zh-CN"/>
              </w:rPr>
              <w:t>备注：采购人有权在实施过程中对中标人投入的管理人员数量进行考核。如不达标，招标人有权对违约行为进行处罚。</w:t>
            </w:r>
          </w:p>
        </w:tc>
      </w:tr>
    </w:tbl>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default"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28"/>
          <w:szCs w:val="36"/>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F252D"/>
    <w:multiLevelType w:val="singleLevel"/>
    <w:tmpl w:val="989F252D"/>
    <w:lvl w:ilvl="0" w:tentative="0">
      <w:start w:val="1"/>
      <w:numFmt w:val="decimal"/>
      <w:lvlText w:val="%1."/>
      <w:lvlJc w:val="left"/>
      <w:pPr>
        <w:tabs>
          <w:tab w:val="left" w:pos="312"/>
        </w:tabs>
      </w:pPr>
    </w:lvl>
  </w:abstractNum>
  <w:abstractNum w:abstractNumId="1">
    <w:nsid w:val="61A83638"/>
    <w:multiLevelType w:val="multilevel"/>
    <w:tmpl w:val="61A83638"/>
    <w:lvl w:ilvl="0" w:tentative="0">
      <w:start w:val="1"/>
      <w:numFmt w:val="chineseCountingThousand"/>
      <w:pStyle w:val="2"/>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8C2DDB"/>
    <w:rsid w:val="267818E3"/>
    <w:rsid w:val="6C85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paragraph" w:styleId="3">
    <w:name w:val="heading 2"/>
    <w:next w:val="1"/>
    <w:qFormat/>
    <w:uiPriority w:val="0"/>
    <w:pPr>
      <w:keepNext/>
      <w:keepLines/>
      <w:widowControl w:val="0"/>
      <w:adjustRightInd w:val="0"/>
      <w:spacing w:before="62" w:beforeLines="20" w:after="62" w:afterLines="20" w:line="360" w:lineRule="auto"/>
      <w:jc w:val="both"/>
      <w:textAlignment w:val="baseline"/>
      <w:outlineLvl w:val="1"/>
    </w:pPr>
    <w:rPr>
      <w:rFonts w:ascii="宋体" w:hAnsi="宋体" w:eastAsia="宋体" w:cs="Times New Roman"/>
      <w:b/>
      <w:kern w:val="0"/>
      <w:sz w:val="30"/>
      <w:szCs w:val="20"/>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太和镇</Company>
  <Pages>1</Pages>
  <Words>0</Words>
  <Characters>0</Characters>
  <Lines>1</Lines>
  <Paragraphs>1</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2023-10-24T08:01:00Z</dcterms:created>
  <dc:creator>大源街道办事处</dc:creator>
  <cp:lastModifiedBy>大源街道办事处</cp:lastModifiedBy>
  <dcterms:modified xsi:type="dcterms:W3CDTF">2023-10-24T08:12:04Z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3788211842C14CA68678EB97E87A5B4B</vt:lpwstr>
  </property>
</Properties>
</file>