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bookmarkStart w:id="0" w:name="_Toc403491571"/>
      <w:bookmarkStart w:id="1" w:name="_Toc401575155"/>
      <w:r>
        <w:rPr>
          <w:rFonts w:hint="eastAsia" w:ascii="黑体" w:hAnsi="黑体" w:eastAsia="黑体" w:cs="黑体"/>
          <w:b/>
          <w:sz w:val="32"/>
          <w:szCs w:val="32"/>
          <w:highlight w:val="white"/>
        </w:rPr>
        <w:t>附件</w:t>
      </w:r>
      <w:r>
        <w:rPr>
          <w:rFonts w:hint="eastAsia" w:ascii="黑体" w:hAnsi="黑体" w:eastAsia="黑体" w:cs="黑体"/>
          <w:b/>
          <w:sz w:val="32"/>
          <w:szCs w:val="32"/>
          <w:highlight w:val="white"/>
          <w:lang w:val="en-US" w:eastAsia="zh-CN"/>
        </w:rPr>
        <w:t>5</w:t>
      </w:r>
      <w:r>
        <w:rPr>
          <w:rFonts w:hint="eastAsia" w:ascii="黑体" w:hAnsi="黑体" w:eastAsia="黑体" w:cs="黑体"/>
          <w:b/>
          <w:sz w:val="32"/>
          <w:szCs w:val="32"/>
          <w:highlight w:val="white"/>
        </w:rPr>
        <w:t>：</w:t>
      </w:r>
    </w:p>
    <w:p>
      <w:pPr>
        <w:pStyle w:val="2"/>
        <w:numPr>
          <w:ilvl w:val="0"/>
          <w:numId w:val="2"/>
        </w:numPr>
        <w:rPr>
          <w:lang w:val="en-GB"/>
        </w:rPr>
      </w:pPr>
      <w:r>
        <w:rPr>
          <w:rFonts w:hint="eastAsia"/>
          <w:lang w:val="en-GB"/>
        </w:rPr>
        <w:t>评标程序</w:t>
      </w:r>
      <w:bookmarkEnd w:id="0"/>
      <w:bookmarkEnd w:id="1"/>
    </w:p>
    <w:p>
      <w:pPr>
        <w:spacing w:line="360" w:lineRule="auto"/>
        <w:ind w:firstLine="482" w:firstLineChars="200"/>
        <w:rPr>
          <w:rFonts w:hint="eastAsia" w:ascii="宋体" w:hAnsi="宋体"/>
          <w:b/>
          <w:sz w:val="24"/>
        </w:rPr>
      </w:pPr>
      <w:r>
        <w:rPr>
          <w:rFonts w:hint="eastAsia" w:ascii="宋体" w:hAnsi="宋体"/>
          <w:b/>
          <w:sz w:val="24"/>
          <w:highlight w:val="white"/>
        </w:rPr>
        <w:t>（一）资格审查</w:t>
      </w:r>
    </w:p>
    <w:p>
      <w:pPr>
        <w:tabs>
          <w:tab w:val="left" w:pos="0"/>
        </w:tabs>
        <w:spacing w:line="360" w:lineRule="auto"/>
        <w:ind w:firstLine="480" w:firstLineChars="200"/>
        <w:rPr>
          <w:rFonts w:hint="eastAsia" w:ascii="宋体" w:hAnsi="宋体"/>
          <w:sz w:val="24"/>
          <w:szCs w:val="22"/>
        </w:rPr>
      </w:pPr>
      <w:r>
        <w:rPr>
          <w:rFonts w:hint="eastAsia" w:ascii="宋体" w:hAnsi="宋体"/>
          <w:sz w:val="24"/>
          <w:highlight w:val="white"/>
        </w:rPr>
        <w:t>1.项目开标结束后，采购人或者交易中心应当依法对投标人的资格进行审查，出现不符合下列情形之一时，作无效投标处理。《资格审查表》如下：</w:t>
      </w:r>
    </w:p>
    <w:tbl>
      <w:tblPr>
        <w:tblStyle w:val="6"/>
        <w:tblW w:w="8396" w:type="dxa"/>
        <w:tblCellSpacing w:w="15" w:type="dxa"/>
        <w:tblInd w:w="0" w:type="dxa"/>
        <w:tblLayout w:type="fixed"/>
        <w:tblCellMar>
          <w:top w:w="0" w:type="dxa"/>
          <w:left w:w="108" w:type="dxa"/>
          <w:bottom w:w="0" w:type="dxa"/>
          <w:right w:w="108" w:type="dxa"/>
        </w:tblCellMar>
      </w:tblPr>
      <w:tblGrid>
        <w:gridCol w:w="8396"/>
      </w:tblGrid>
      <w:tr>
        <w:tblPrEx>
          <w:tblCellMar>
            <w:top w:w="0" w:type="dxa"/>
            <w:left w:w="108" w:type="dxa"/>
            <w:bottom w:w="0" w:type="dxa"/>
            <w:right w:w="108" w:type="dxa"/>
          </w:tblCellMar>
        </w:tblPrEx>
        <w:trPr>
          <w:tblCellSpacing w:w="15" w:type="dxa"/>
        </w:trPr>
        <w:tc>
          <w:tcPr>
            <w:tcW w:w="8336" w:type="dxa"/>
            <w:tcMar>
              <w:top w:w="15" w:type="dxa"/>
              <w:left w:w="15" w:type="dxa"/>
              <w:bottom w:w="15" w:type="dxa"/>
              <w:right w:w="15" w:type="dxa"/>
            </w:tcMar>
            <w:vAlign w:val="center"/>
          </w:tcPr>
          <w:tbl>
            <w:tblPr>
              <w:tblStyle w:val="6"/>
              <w:tblW w:w="8290"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184"/>
              <w:gridCol w:w="7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序号</w:t>
                  </w:r>
                </w:p>
              </w:tc>
              <w:tc>
                <w:tcPr>
                  <w:tcW w:w="710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资格审查内容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1</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szCs w:val="22"/>
                    </w:rPr>
                  </w:pPr>
                  <w:r>
                    <w:rPr>
                      <w:rFonts w:hint="eastAsia" w:ascii="宋体" w:hAnsi="宋体" w:cs="宋体"/>
                      <w:sz w:val="24"/>
                    </w:rPr>
                    <w:t>中华人民共和国境内合法存续的企业法人、其他组织。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2</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szCs w:val="22"/>
                    </w:rPr>
                  </w:pPr>
                  <w:r>
                    <w:rPr>
                      <w:rFonts w:hint="eastAsia" w:ascii="宋体" w:hAnsi="宋体" w:cs="宋体"/>
                      <w:sz w:val="24"/>
                    </w:rPr>
                    <w:t>满足《政府采购法》第二十二条所规定的条件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3</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szCs w:val="22"/>
                    </w:rPr>
                  </w:pPr>
                  <w:r>
                    <w:rPr>
                      <w:rFonts w:hint="eastAsia" w:ascii="宋体" w:hAnsi="宋体" w:cs="宋体"/>
                      <w:sz w:val="24"/>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cs="宋体"/>
                      <w:sz w:val="24"/>
                      <w:szCs w:val="22"/>
                    </w:rPr>
                  </w:pPr>
                  <w:r>
                    <w:rPr>
                      <w:rFonts w:hint="default" w:ascii="宋体" w:hAnsi="宋体" w:cs="宋体"/>
                      <w:sz w:val="24"/>
                    </w:rPr>
                    <w:t>4</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2"/>
                    </w:rPr>
                  </w:pPr>
                  <w:r>
                    <w:rPr>
                      <w:rFonts w:hint="eastAsia" w:ascii="宋体" w:hAnsi="宋体" w:cs="宋体"/>
                      <w:sz w:val="24"/>
                    </w:rPr>
                    <w:t>本项目不接受联合体投标</w:t>
                  </w:r>
                </w:p>
              </w:tc>
            </w:tr>
          </w:tbl>
          <w:p>
            <w:pPr>
              <w:rPr>
                <w:rFonts w:ascii="Calibri" w:hAnsi="Calibri"/>
                <w:szCs w:val="22"/>
              </w:rPr>
            </w:pPr>
          </w:p>
        </w:tc>
      </w:tr>
    </w:tbl>
    <w:p>
      <w:pPr>
        <w:rPr>
          <w:rFonts w:hint="eastAsia" w:ascii="宋体" w:hAnsi="宋体"/>
          <w:color w:val="000080"/>
          <w:sz w:val="24"/>
          <w:highlight w:val="white"/>
        </w:rPr>
      </w:pPr>
    </w:p>
    <w:p>
      <w:pPr>
        <w:rPr>
          <w:rFonts w:hint="eastAsia" w:ascii="宋体" w:hAnsi="宋体"/>
          <w:color w:val="000080"/>
          <w:sz w:val="24"/>
          <w:highlight w:val="white"/>
        </w:rPr>
      </w:pPr>
    </w:p>
    <w:p>
      <w:pPr>
        <w:pStyle w:val="2"/>
        <w:numPr>
          <w:ilvl w:val="0"/>
          <w:numId w:val="3"/>
        </w:numPr>
        <w:rPr>
          <w:lang w:val="en-GB"/>
        </w:rPr>
      </w:pPr>
      <w:r>
        <w:rPr>
          <w:rFonts w:hint="eastAsia"/>
          <w:lang w:val="en-GB"/>
        </w:rPr>
        <w:t>本项目的分值构成：</w:t>
      </w:r>
    </w:p>
    <w:tbl>
      <w:tblPr>
        <w:tblStyle w:val="6"/>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2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Cs w:val="21"/>
              </w:rPr>
            </w:pPr>
            <w:r>
              <w:rPr>
                <w:rFonts w:hint="eastAsia" w:cs="宋体"/>
                <w:b/>
              </w:rPr>
              <w:t>评审部分</w:t>
            </w:r>
          </w:p>
        </w:tc>
        <w:tc>
          <w:tcPr>
            <w:tcW w:w="6235"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Cs w:val="21"/>
              </w:rPr>
            </w:pPr>
            <w:r>
              <w:rPr>
                <w:rFonts w:hint="eastAsia"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Cs w:val="21"/>
              </w:rPr>
            </w:pPr>
            <w:r>
              <w:rPr>
                <w:rFonts w:hint="eastAsia" w:cs="宋体"/>
                <w:b/>
              </w:rPr>
              <w:t>技术部分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ascii="宋体" w:hAnsi="宋体" w:cs="宋体"/>
                <w:szCs w:val="21"/>
              </w:rPr>
            </w:pPr>
            <w:r>
              <w:rPr>
                <w:rFonts w:hint="eastAsia" w:cs="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b/>
                <w:szCs w:val="21"/>
              </w:rPr>
            </w:pPr>
            <w:r>
              <w:rPr>
                <w:rFonts w:hint="eastAsia" w:cs="宋体"/>
                <w:b/>
              </w:rPr>
              <w:t>商务部分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ascii="宋体" w:hAnsi="宋体" w:cs="宋体"/>
                <w:szCs w:val="21"/>
              </w:rPr>
            </w:pPr>
            <w:r>
              <w:rPr>
                <w:rFonts w:cs="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Cs w:val="21"/>
              </w:rPr>
            </w:pPr>
            <w:r>
              <w:rPr>
                <w:rFonts w:hint="eastAsia" w:cs="宋体"/>
                <w:b/>
              </w:rPr>
              <w:t>价格部分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ascii="宋体" w:hAnsi="宋体" w:cs="宋体"/>
                <w:szCs w:val="21"/>
              </w:rPr>
            </w:pPr>
            <w:r>
              <w:rPr>
                <w:rFonts w:hint="eastAsia" w:cs="宋体"/>
              </w:rPr>
              <w:t>30</w:t>
            </w:r>
          </w:p>
        </w:tc>
      </w:tr>
    </w:tbl>
    <w:p>
      <w:pPr>
        <w:rPr>
          <w:rFonts w:hint="eastAsia"/>
          <w:szCs w:val="21"/>
        </w:rPr>
      </w:pPr>
    </w:p>
    <w:p>
      <w:pPr>
        <w:pStyle w:val="2"/>
        <w:numPr>
          <w:ilvl w:val="0"/>
          <w:numId w:val="3"/>
        </w:numPr>
        <w:rPr>
          <w:rFonts w:hint="eastAsia"/>
        </w:rPr>
      </w:pPr>
      <w:r>
        <w:rPr>
          <w:rFonts w:hint="eastAsia"/>
        </w:rPr>
        <w:t>技术评分（35分）</w:t>
      </w:r>
    </w:p>
    <w:p>
      <w:pPr>
        <w:numPr>
          <w:ilvl w:val="0"/>
          <w:numId w:val="4"/>
        </w:numPr>
        <w:tabs>
          <w:tab w:val="left" w:pos="0"/>
          <w:tab w:val="left" w:pos="720"/>
          <w:tab w:val="left" w:pos="1080"/>
          <w:tab w:val="clear" w:pos="840"/>
        </w:tabs>
        <w:spacing w:line="360" w:lineRule="auto"/>
        <w:ind w:left="0" w:firstLine="420"/>
        <w:rPr>
          <w:rFonts w:ascii="宋体" w:hAnsi="宋体"/>
          <w:sz w:val="24"/>
        </w:rPr>
      </w:pPr>
      <w:r>
        <w:rPr>
          <w:rFonts w:hint="eastAsia" w:ascii="宋体" w:hAnsi="宋体"/>
          <w:sz w:val="24"/>
          <w:highlight w:val="white"/>
        </w:rPr>
        <w:t>由</w:t>
      </w:r>
      <w:r>
        <w:rPr>
          <w:rFonts w:hint="eastAsia"/>
          <w:sz w:val="24"/>
          <w:highlight w:val="white"/>
        </w:rPr>
        <w:t>评标委员会成员</w:t>
      </w:r>
      <w:r>
        <w:rPr>
          <w:rFonts w:hint="eastAsia" w:ascii="宋体" w:hAnsi="宋体"/>
          <w:sz w:val="24"/>
          <w:highlight w:val="white"/>
        </w:rPr>
        <w:t xml:space="preserve">对所有有效投标文件的技术和服务响应方案进行审核和分析，填写《技术评分表》，如下： </w:t>
      </w:r>
    </w:p>
    <w:tbl>
      <w:tblPr>
        <w:tblStyle w:val="6"/>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0"/>
        <w:gridCol w:w="3767"/>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0" w:type="dxa"/>
            <w:vAlign w:val="center"/>
          </w:tcPr>
          <w:p>
            <w:pPr>
              <w:jc w:val="center"/>
            </w:pPr>
            <w:r>
              <w:rPr>
                <w:rFonts w:ascii="宋体" w:hAnsi="宋体" w:cs="宋体"/>
                <w:sz w:val="24"/>
                <w:szCs w:val="22"/>
              </w:rPr>
              <w:t>分值（35）</w:t>
            </w:r>
          </w:p>
        </w:tc>
        <w:tc>
          <w:tcPr>
            <w:tcW w:w="3767" w:type="dxa"/>
            <w:vAlign w:val="center"/>
          </w:tcPr>
          <w:p>
            <w:pPr>
              <w:jc w:val="center"/>
            </w:pPr>
            <w:r>
              <w:rPr>
                <w:rFonts w:ascii="宋体" w:hAnsi="宋体" w:cs="宋体"/>
                <w:sz w:val="24"/>
                <w:szCs w:val="22"/>
              </w:rPr>
              <w:t>评审内容</w:t>
            </w:r>
          </w:p>
        </w:tc>
        <w:tc>
          <w:tcPr>
            <w:tcW w:w="4596" w:type="dxa"/>
            <w:vAlign w:val="center"/>
          </w:tcPr>
          <w:p>
            <w:pPr>
              <w:jc w:val="center"/>
            </w:pPr>
            <w:r>
              <w:rPr>
                <w:rFonts w:ascii="宋体" w:hAnsi="宋体" w:cs="宋体"/>
                <w:sz w:val="24"/>
                <w:szCs w:val="2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0" w:type="dxa"/>
            <w:vAlign w:val="center"/>
          </w:tcPr>
          <w:p>
            <w:pPr>
              <w:jc w:val="center"/>
              <w:rPr>
                <w:rFonts w:hint="default" w:ascii="宋体" w:hAnsi="宋体" w:cs="宋体"/>
                <w:sz w:val="24"/>
                <w:szCs w:val="22"/>
              </w:rPr>
            </w:pPr>
            <w:r>
              <w:rPr>
                <w:rFonts w:hint="default" w:ascii="宋体" w:hAnsi="宋体" w:cs="宋体"/>
                <w:sz w:val="24"/>
                <w:szCs w:val="22"/>
              </w:rPr>
              <w:t>35</w:t>
            </w:r>
          </w:p>
        </w:tc>
        <w:tc>
          <w:tcPr>
            <w:tcW w:w="3767" w:type="dxa"/>
            <w:vAlign w:val="center"/>
          </w:tcPr>
          <w:p>
            <w:pPr>
              <w:jc w:val="center"/>
              <w:rPr>
                <w:rFonts w:ascii="宋体" w:hAnsi="宋体" w:cs="宋体"/>
                <w:sz w:val="24"/>
                <w:szCs w:val="22"/>
              </w:rPr>
            </w:pPr>
            <w:r>
              <w:rPr>
                <w:rFonts w:hint="default" w:ascii="宋体" w:hAnsi="宋体" w:cs="宋体"/>
                <w:sz w:val="24"/>
                <w:szCs w:val="22"/>
                <w:lang w:val="en-US" w:eastAsia="zh-CN"/>
              </w:rPr>
              <w:t xml:space="preserve">服务方案 </w:t>
            </w:r>
          </w:p>
        </w:tc>
        <w:tc>
          <w:tcPr>
            <w:tcW w:w="4596" w:type="dxa"/>
            <w:vAlign w:val="center"/>
          </w:tcPr>
          <w:p>
            <w:pPr>
              <w:jc w:val="center"/>
              <w:rPr>
                <w:rFonts w:ascii="宋体" w:hAnsi="宋体" w:cs="宋体"/>
                <w:sz w:val="24"/>
                <w:szCs w:val="22"/>
              </w:rPr>
            </w:pPr>
            <w:r>
              <w:rPr>
                <w:rFonts w:hint="default" w:ascii="宋体" w:hAnsi="宋体" w:cs="宋体"/>
                <w:sz w:val="24"/>
                <w:szCs w:val="22"/>
                <w:lang w:val="en-US" w:eastAsia="zh-CN"/>
              </w:rPr>
              <w:t>根据比选单位提供的服务方案的配置等进行评审：1.服务方案详尽、全面，内容包含单不限约于：具体服务内容、应用规划、服务技术人员安排、培训安排、和更多服务规划的得</w:t>
            </w:r>
            <w:r>
              <w:rPr>
                <w:rFonts w:hint="default" w:ascii="宋体" w:hAnsi="宋体" w:cs="宋体"/>
                <w:sz w:val="24"/>
                <w:szCs w:val="22"/>
                <w:lang w:eastAsia="zh-CN"/>
              </w:rPr>
              <w:t>35</w:t>
            </w:r>
            <w:r>
              <w:rPr>
                <w:rFonts w:hint="default" w:ascii="宋体" w:hAnsi="宋体" w:cs="宋体"/>
                <w:sz w:val="24"/>
                <w:szCs w:val="22"/>
                <w:lang w:val="en-US" w:eastAsia="zh-CN"/>
              </w:rPr>
              <w:t>分；2.服务方案简单、基本可行的得</w:t>
            </w:r>
            <w:r>
              <w:rPr>
                <w:rFonts w:hint="default" w:ascii="宋体" w:hAnsi="宋体" w:cs="宋体"/>
                <w:sz w:val="24"/>
                <w:szCs w:val="22"/>
                <w:lang w:eastAsia="zh-CN"/>
              </w:rPr>
              <w:t>25</w:t>
            </w:r>
            <w:r>
              <w:rPr>
                <w:rFonts w:hint="default" w:ascii="宋体" w:hAnsi="宋体" w:cs="宋体"/>
                <w:sz w:val="24"/>
                <w:szCs w:val="22"/>
                <w:lang w:val="en-US" w:eastAsia="zh-CN"/>
              </w:rPr>
              <w:t>分；3.服务方案简单、可行性较低的得</w:t>
            </w:r>
            <w:r>
              <w:rPr>
                <w:rFonts w:hint="default" w:ascii="宋体" w:hAnsi="宋体" w:cs="宋体"/>
                <w:sz w:val="24"/>
                <w:szCs w:val="22"/>
                <w:lang w:eastAsia="zh-CN"/>
              </w:rPr>
              <w:t>10</w:t>
            </w:r>
            <w:r>
              <w:rPr>
                <w:rFonts w:hint="default" w:ascii="宋体" w:hAnsi="宋体" w:cs="宋体"/>
                <w:sz w:val="24"/>
                <w:szCs w:val="22"/>
                <w:lang w:val="en-US" w:eastAsia="zh-CN"/>
              </w:rPr>
              <w:t>分；4.不提供服务方案得0分。</w:t>
            </w:r>
          </w:p>
        </w:tc>
      </w:tr>
    </w:tbl>
    <w:p>
      <w:pPr>
        <w:pStyle w:val="2"/>
        <w:pageBreakBefore/>
        <w:numPr>
          <w:ilvl w:val="0"/>
          <w:numId w:val="3"/>
        </w:numPr>
        <w:ind w:left="748" w:hanging="748"/>
        <w:rPr>
          <w:rFonts w:hint="eastAsia"/>
        </w:rPr>
      </w:pPr>
      <w:r>
        <w:rPr>
          <w:rFonts w:hint="eastAsia"/>
        </w:rPr>
        <w:t>商务评分（35分）</w:t>
      </w:r>
    </w:p>
    <w:tbl>
      <w:tblPr>
        <w:tblStyle w:val="6"/>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940"/>
        <w:gridCol w:w="623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szCs w:val="21"/>
              </w:rPr>
            </w:pPr>
            <w:r>
              <w:rPr>
                <w:rFonts w:hint="eastAsia" w:cs="宋体"/>
                <w:b/>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szCs w:val="21"/>
              </w:rPr>
            </w:pPr>
            <w:r>
              <w:rPr>
                <w:rFonts w:hint="eastAsia" w:cs="宋体"/>
                <w:b/>
              </w:rPr>
              <w:t>评审项目</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22"/>
              <w:jc w:val="center"/>
              <w:rPr>
                <w:rFonts w:ascii="宋体" w:hAnsi="宋体" w:cs="宋体"/>
                <w:b/>
                <w:szCs w:val="21"/>
              </w:rPr>
            </w:pPr>
            <w:r>
              <w:rPr>
                <w:rFonts w:hint="eastAsia" w:cs="宋体"/>
                <w:b/>
              </w:rPr>
              <w:t>评审细则</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cs="宋体"/>
                <w:b/>
              </w:rPr>
            </w:pPr>
            <w:r>
              <w:rPr>
                <w:rFonts w:hint="eastAsia" w:cs="宋体"/>
                <w:b/>
              </w:rPr>
              <w:t>分值</w:t>
            </w:r>
          </w:p>
          <w:p>
            <w:pPr>
              <w:widowControl/>
              <w:snapToGrid w:val="0"/>
              <w:spacing w:line="360" w:lineRule="auto"/>
              <w:jc w:val="center"/>
              <w:rPr>
                <w:rFonts w:ascii="宋体" w:hAnsi="宋体" w:cs="宋体"/>
                <w:b/>
                <w:szCs w:val="21"/>
              </w:rPr>
            </w:pPr>
            <w:r>
              <w:rPr>
                <w:rFonts w:hint="eastAsia" w:cs="宋体"/>
                <w:b/>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eastAsiaTheme="minorEastAsia"/>
                <w:kern w:val="0"/>
                <w:sz w:val="21"/>
                <w:szCs w:val="21"/>
                <w:lang w:val="en-US" w:eastAsia="zh-CN" w:bidi="ar-SA"/>
              </w:rPr>
            </w:pPr>
            <w:r>
              <w:rPr>
                <w:rFonts w:hint="eastAsia" w:cs="宋体"/>
                <w:kern w:val="0"/>
              </w:rPr>
              <w:t>1</w:t>
            </w:r>
          </w:p>
        </w:tc>
        <w:tc>
          <w:tcPr>
            <w:tcW w:w="1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eastAsiaTheme="minorEastAsia"/>
                <w:kern w:val="2"/>
                <w:sz w:val="21"/>
                <w:szCs w:val="21"/>
                <w:lang w:val="en-US" w:eastAsia="zh-CN" w:bidi="ar-SA"/>
              </w:rPr>
            </w:pPr>
            <w:r>
              <w:rPr>
                <w:rFonts w:hint="eastAsia" w:cs="宋体"/>
              </w:rPr>
              <w:t>报名资料完整性</w:t>
            </w:r>
          </w:p>
        </w:tc>
        <w:tc>
          <w:tcPr>
            <w:tcW w:w="62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eastAsiaTheme="minorEastAsia"/>
                <w:kern w:val="2"/>
                <w:sz w:val="21"/>
                <w:szCs w:val="21"/>
                <w:lang w:val="en-GB" w:eastAsia="zh-CN" w:bidi="ar-SA"/>
              </w:rPr>
            </w:pPr>
            <w:r>
              <w:rPr>
                <w:rFonts w:hint="eastAsia" w:cs="宋体"/>
              </w:rPr>
              <w:t>比选单位是否根据《大源街202</w:t>
            </w:r>
            <w:r>
              <w:rPr>
                <w:rFonts w:hint="eastAsia" w:cs="宋体"/>
                <w:lang w:val="en-US" w:eastAsia="zh-CN"/>
              </w:rPr>
              <w:t>4</w:t>
            </w:r>
            <w:r>
              <w:rPr>
                <w:rFonts w:hint="eastAsia" w:cs="宋体"/>
              </w:rPr>
              <w:t>年最小应急单元无线对讲机技术服务项目公开比选报名提交资料一览表》提交相关材料。</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cs="宋体" w:eastAsiaTheme="minorEastAsia"/>
                <w:kern w:val="2"/>
                <w:sz w:val="21"/>
                <w:szCs w:val="21"/>
                <w:lang w:eastAsia="zh-CN" w:bidi="ar-SA"/>
              </w:rPr>
            </w:pPr>
            <w:r>
              <w:rPr>
                <w:rFonts w:hint="eastAsia" w:cs="宋体"/>
                <w:kern w:val="0"/>
              </w:rPr>
              <w:t>1</w:t>
            </w:r>
            <w:r>
              <w:rPr>
                <w:rFonts w:hint="default" w:cs="宋体"/>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eastAsiaTheme="minorEastAsia"/>
                <w:kern w:val="0"/>
                <w:sz w:val="21"/>
                <w:szCs w:val="21"/>
                <w:lang w:val="en-US" w:eastAsia="zh-CN" w:bidi="ar-SA"/>
              </w:rPr>
            </w:pPr>
            <w:r>
              <w:rPr>
                <w:rFonts w:hint="default" w:ascii="宋体" w:cs="宋体"/>
                <w:kern w:val="0"/>
              </w:rPr>
              <w:t>2</w:t>
            </w:r>
          </w:p>
        </w:tc>
        <w:tc>
          <w:tcPr>
            <w:tcW w:w="1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eastAsiaTheme="minorEastAsia"/>
                <w:kern w:val="2"/>
                <w:sz w:val="21"/>
                <w:szCs w:val="21"/>
                <w:lang w:val="en-US" w:eastAsia="zh-CN" w:bidi="ar-SA"/>
              </w:rPr>
            </w:pPr>
            <w:r>
              <w:rPr>
                <w:rFonts w:hint="eastAsia" w:cs="宋体"/>
              </w:rPr>
              <w:t>比选人综合实力</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cs="宋体"/>
              </w:rPr>
              <w:t>1、比选人具有</w:t>
            </w:r>
            <w:r>
              <w:rPr>
                <w:rFonts w:hint="eastAsia" w:cs="宋体"/>
                <w:lang w:val="en-GB"/>
              </w:rPr>
              <w:t>有效期内</w:t>
            </w:r>
            <w:r>
              <w:rPr>
                <w:rFonts w:hint="eastAsia" w:cs="宋体"/>
              </w:rPr>
              <w:t>ISO9001《质量管理体系认证证书》包含无线通信设备的认证范围为有效；</w:t>
            </w:r>
          </w:p>
          <w:p>
            <w:pPr>
              <w:rPr>
                <w:rFonts w:hint="eastAsia" w:cs="宋体"/>
              </w:rPr>
            </w:pPr>
            <w:r>
              <w:rPr>
                <w:rFonts w:hint="eastAsia" w:cs="宋体"/>
              </w:rPr>
              <w:t>2、比选人具有</w:t>
            </w:r>
            <w:r>
              <w:rPr>
                <w:rFonts w:hint="eastAsia" w:cs="宋体"/>
                <w:lang w:val="en-GB"/>
              </w:rPr>
              <w:t>有效期内</w:t>
            </w:r>
            <w:r>
              <w:rPr>
                <w:rFonts w:hint="eastAsia" w:cs="宋体"/>
              </w:rPr>
              <w:t>ISO45001《职业健康安全管理体系认证证书》包含无线通信设备的认证范围为有效；</w:t>
            </w:r>
          </w:p>
          <w:p>
            <w:pPr>
              <w:rPr>
                <w:rFonts w:hint="default" w:cs="宋体"/>
              </w:rPr>
            </w:pPr>
            <w:r>
              <w:rPr>
                <w:rFonts w:hint="eastAsia" w:cs="宋体"/>
              </w:rPr>
              <w:t>3、比选人具有</w:t>
            </w:r>
            <w:r>
              <w:rPr>
                <w:rFonts w:hint="eastAsia" w:cs="宋体"/>
                <w:lang w:val="en-GB"/>
              </w:rPr>
              <w:t>有效期内</w:t>
            </w:r>
            <w:r>
              <w:rPr>
                <w:rFonts w:hint="eastAsia" w:cs="宋体"/>
              </w:rPr>
              <w:t>ISO27001《信息安全管理体系认证书》包含无线通信设备的认证范围为有效</w:t>
            </w:r>
            <w:r>
              <w:rPr>
                <w:rFonts w:hint="default" w:cs="宋体"/>
              </w:rPr>
              <w:t>。</w:t>
            </w:r>
          </w:p>
          <w:p>
            <w:pPr>
              <w:snapToGrid w:val="0"/>
              <w:spacing w:line="360" w:lineRule="auto"/>
              <w:rPr>
                <w:rFonts w:hint="eastAsia" w:ascii="宋体" w:hAnsi="宋体" w:cs="宋体" w:eastAsiaTheme="minorEastAsia"/>
                <w:kern w:val="2"/>
                <w:sz w:val="21"/>
                <w:szCs w:val="21"/>
                <w:lang w:val="en-GB" w:eastAsia="zh-CN" w:bidi="ar-SA"/>
              </w:rPr>
            </w:pPr>
            <w:r>
              <w:rPr>
                <w:rFonts w:hint="eastAsia" w:cs="宋体"/>
              </w:rPr>
              <w:t>须提供相关证书复印件加盖投标人公章，全部提供得</w:t>
            </w:r>
            <w:r>
              <w:rPr>
                <w:rFonts w:hint="default" w:cs="宋体"/>
              </w:rPr>
              <w:t>15</w:t>
            </w:r>
            <w:r>
              <w:rPr>
                <w:rFonts w:hint="eastAsia" w:cs="宋体"/>
              </w:rPr>
              <w:t>分；少1份扣</w:t>
            </w:r>
            <w:r>
              <w:rPr>
                <w:rFonts w:hint="default" w:cs="宋体"/>
              </w:rPr>
              <w:t>5</w:t>
            </w:r>
            <w:r>
              <w:rPr>
                <w:rFonts w:hint="eastAsia" w:cs="宋体"/>
              </w:rPr>
              <w:t>分。扣完为止。</w:t>
            </w:r>
          </w:p>
        </w:tc>
        <w:tc>
          <w:tcPr>
            <w:tcW w:w="10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s="宋体"/>
              </w:rPr>
            </w:pPr>
            <w:r>
              <w:rPr>
                <w:rFonts w:hint="default"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eastAsiaTheme="minorEastAsia"/>
                <w:kern w:val="2"/>
                <w:sz w:val="21"/>
                <w:szCs w:val="21"/>
                <w:lang w:val="en-US" w:eastAsia="zh-CN" w:bidi="ar-SA"/>
              </w:rPr>
            </w:pPr>
            <w:r>
              <w:rPr>
                <w:rFonts w:hint="default" w:ascii="宋体" w:cs="宋体"/>
              </w:rPr>
              <w:t>3</w:t>
            </w:r>
          </w:p>
        </w:tc>
        <w:tc>
          <w:tcPr>
            <w:tcW w:w="1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eastAsiaTheme="minorEastAsia"/>
                <w:kern w:val="2"/>
                <w:sz w:val="21"/>
                <w:szCs w:val="21"/>
                <w:lang w:val="en-US" w:eastAsia="zh-CN" w:bidi="ar-SA"/>
              </w:rPr>
            </w:pPr>
            <w:r>
              <w:rPr>
                <w:rFonts w:hint="eastAsia" w:cs="宋体"/>
                <w:lang w:val="en-GB"/>
              </w:rPr>
              <w:t>项目业绩</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cs="宋体"/>
                <w:highlight w:val="none"/>
              </w:rPr>
              <w:t>20</w:t>
            </w:r>
            <w:r>
              <w:rPr>
                <w:rFonts w:hint="default" w:cs="宋体"/>
                <w:highlight w:val="none"/>
              </w:rPr>
              <w:t>21</w:t>
            </w:r>
            <w:r>
              <w:rPr>
                <w:rFonts w:hint="eastAsia" w:cs="宋体"/>
                <w:highlight w:val="none"/>
              </w:rPr>
              <w:t>年1月1日至今（以合同签订时间为准）比选人独立完成</w:t>
            </w:r>
            <w:r>
              <w:rPr>
                <w:rFonts w:hint="eastAsia" w:cs="宋体"/>
                <w:highlight w:val="none"/>
                <w:lang w:val="en-US" w:eastAsia="zh-Hans"/>
              </w:rPr>
              <w:t>广州市白云区</w:t>
            </w:r>
            <w:r>
              <w:rPr>
                <w:rFonts w:hint="eastAsia" w:cs="宋体"/>
                <w:highlight w:val="none"/>
              </w:rPr>
              <w:t>同类项目业绩，每提供1个得</w:t>
            </w:r>
            <w:r>
              <w:rPr>
                <w:rFonts w:hint="default" w:cs="宋体"/>
                <w:highlight w:val="none"/>
              </w:rPr>
              <w:t>5</w:t>
            </w:r>
            <w:r>
              <w:rPr>
                <w:rFonts w:hint="eastAsia" w:cs="宋体"/>
                <w:highlight w:val="none"/>
              </w:rPr>
              <w:t>分，本项最高得</w:t>
            </w:r>
            <w:r>
              <w:rPr>
                <w:rFonts w:cs="宋体"/>
                <w:highlight w:val="none"/>
              </w:rPr>
              <w:t>10</w:t>
            </w:r>
            <w:r>
              <w:rPr>
                <w:rFonts w:hint="eastAsia" w:cs="宋体"/>
                <w:highlight w:val="none"/>
              </w:rPr>
              <w:t>分。</w:t>
            </w:r>
          </w:p>
          <w:p>
            <w:pPr>
              <w:spacing w:line="360" w:lineRule="auto"/>
              <w:rPr>
                <w:rFonts w:hint="eastAsia" w:ascii="宋体" w:hAnsi="宋体" w:cs="宋体" w:eastAsiaTheme="minorEastAsia"/>
                <w:kern w:val="2"/>
                <w:sz w:val="21"/>
                <w:szCs w:val="21"/>
                <w:lang w:val="zh-CN" w:eastAsia="zh-CN" w:bidi="zh-CN"/>
              </w:rPr>
            </w:pPr>
            <w:r>
              <w:rPr>
                <w:rFonts w:hint="eastAsia" w:cs="宋体"/>
                <w:highlight w:val="none"/>
              </w:rPr>
              <w:t>【注：投标人须提供合同关键页（须包括</w:t>
            </w:r>
            <w:r>
              <w:rPr>
                <w:rFonts w:hint="eastAsia" w:cs="宋体"/>
                <w:highlight w:val="none"/>
                <w:lang w:val="en-US" w:eastAsia="zh-Hans"/>
              </w:rPr>
              <w:t>合同</w:t>
            </w:r>
            <w:r>
              <w:rPr>
                <w:rFonts w:hint="eastAsia" w:cs="宋体"/>
                <w:highlight w:val="none"/>
              </w:rPr>
              <w:t>内容、签约日期、双方盖章等内容）复印件加盖投标人公章，不提供上述资料的不得分。】</w:t>
            </w:r>
          </w:p>
        </w:tc>
        <w:tc>
          <w:tcPr>
            <w:tcW w:w="10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s="宋体"/>
              </w:rPr>
            </w:pPr>
            <w:r>
              <w:rPr>
                <w:rFonts w:hint="default" w:cs="宋体"/>
              </w:rPr>
              <w:t>10</w:t>
            </w:r>
          </w:p>
        </w:tc>
      </w:tr>
    </w:tbl>
    <w:p>
      <w:pPr>
        <w:rPr>
          <w:rFonts w:hint="eastAsia"/>
          <w:szCs w:val="21"/>
        </w:rPr>
      </w:pPr>
    </w:p>
    <w:p>
      <w:pPr>
        <w:pStyle w:val="2"/>
        <w:numPr>
          <w:ilvl w:val="0"/>
          <w:numId w:val="3"/>
        </w:numPr>
        <w:rPr>
          <w:rFonts w:hint="eastAsia"/>
        </w:rPr>
      </w:pPr>
      <w:r>
        <w:rPr>
          <w:rFonts w:hint="eastAsia"/>
        </w:rPr>
        <w:t>价格评分</w:t>
      </w:r>
      <w:r>
        <w:rPr>
          <w:rFonts w:hint="eastAsia" w:ascii="宋体" w:hAnsi="宋体"/>
          <w:b w:val="0"/>
          <w:bCs w:val="0"/>
          <w:lang w:val="en-GB"/>
        </w:rPr>
        <w:t>（</w:t>
      </w:r>
      <w:r>
        <w:rPr>
          <w:rFonts w:hint="eastAsia" w:ascii="宋体" w:hAnsi="宋体"/>
          <w:b w:val="0"/>
          <w:bCs w:val="0"/>
        </w:rPr>
        <w:t>30分</w:t>
      </w:r>
      <w:r>
        <w:rPr>
          <w:rFonts w:hint="eastAsia" w:ascii="宋体" w:hAnsi="宋体"/>
          <w:b w:val="0"/>
          <w:bCs w:val="0"/>
          <w:lang w:val="en-GB"/>
        </w:rPr>
        <w:t>）</w:t>
      </w:r>
    </w:p>
    <w:p>
      <w:pPr>
        <w:rPr>
          <w:rFonts w:hint="eastAsia" w:cs="宋体"/>
          <w:color w:val="000000"/>
        </w:rPr>
      </w:pPr>
      <w:r>
        <w:rPr>
          <w:rFonts w:hint="eastAsia" w:cs="宋体"/>
          <w:color w:val="000000"/>
        </w:rPr>
        <w:t>平均价评分。询价小组以投标文件为依据，对其进行评审，在全部满足内容和条件的前提下，按所报总价由低到高排列顺序，确定平均价，取平均价为评标基准价，越偏离平均价，分值越低。投标人的价格分统一按照下列公式计算：</w:t>
      </w:r>
    </w:p>
    <w:p>
      <w:pPr>
        <w:rPr>
          <w:rFonts w:cs="宋体"/>
          <w:color w:val="000000"/>
        </w:rPr>
      </w:pPr>
    </w:p>
    <w:p>
      <w:pPr>
        <w:rPr>
          <w:rFonts w:cs="宋体"/>
          <w:color w:val="000000"/>
        </w:rPr>
      </w:pPr>
    </w:p>
    <w:p>
      <w:pPr>
        <w:rPr>
          <w:rFonts w:hint="eastAsia" w:cs="宋体"/>
          <w:color w:val="000000"/>
        </w:rPr>
      </w:pPr>
      <w:r>
        <w:rPr>
          <w:rFonts w:hint="eastAsia" w:cs="宋体"/>
          <w:color w:val="000000"/>
        </w:rPr>
        <w:t>偏离参数= [（评标基准价／评标价）-1]的绝对值</w:t>
      </w:r>
    </w:p>
    <w:p>
      <w:pPr>
        <w:rPr>
          <w:rFonts w:hint="eastAsia" w:cs="宋体"/>
          <w:color w:val="000000"/>
        </w:rPr>
      </w:pPr>
      <w:r>
        <w:rPr>
          <w:rFonts w:hint="eastAsia" w:cs="宋体"/>
          <w:color w:val="000000"/>
        </w:rPr>
        <w:t>价格评分=(1-偏离参数)×</w:t>
      </w:r>
      <w:r>
        <w:rPr>
          <w:rFonts w:hint="eastAsia" w:cs="宋体"/>
          <w:color w:val="000000"/>
          <w:lang w:val="en-US" w:eastAsia="zh-CN"/>
        </w:rPr>
        <w:t>30</w:t>
      </w:r>
      <w:r>
        <w:rPr>
          <w:rFonts w:hint="eastAsia" w:cs="宋体"/>
          <w:color w:val="000000"/>
        </w:rPr>
        <w:t>分</w:t>
      </w:r>
    </w:p>
    <w:p>
      <w:pPr>
        <w:rPr>
          <w:rFonts w:hint="eastAsia" w:cs="宋体"/>
          <w:b/>
          <w:bCs/>
          <w:color w:val="000000"/>
          <w:sz w:val="28"/>
          <w:szCs w:val="28"/>
        </w:rPr>
      </w:pPr>
    </w:p>
    <w:p>
      <w:pPr>
        <w:rPr>
          <w:rFonts w:hint="eastAsia" w:cs="宋体"/>
          <w:b/>
          <w:bCs/>
          <w:color w:val="000000"/>
          <w:sz w:val="28"/>
          <w:szCs w:val="28"/>
        </w:rPr>
      </w:pPr>
    </w:p>
    <w:p>
      <w:pPr>
        <w:spacing w:line="244" w:lineRule="auto"/>
        <w:ind w:right="123"/>
        <w:jc w:val="right"/>
        <w:rPr>
          <w:rFonts w:hint="eastAsia" w:ascii="宋体" w:hAnsi="宋体" w:cs="宋体"/>
          <w:color w:val="000000"/>
          <w:kern w:val="0"/>
          <w:sz w:val="24"/>
          <w:szCs w:val="22"/>
          <w:lang w:val="en-US" w:eastAsia="zh-CN"/>
        </w:rPr>
      </w:pPr>
      <w:r>
        <w:rPr>
          <w:rFonts w:hint="eastAsia" w:ascii="宋体" w:hAnsi="宋体" w:cs="宋体"/>
          <w:color w:val="000000"/>
          <w:kern w:val="0"/>
          <w:sz w:val="24"/>
          <w:szCs w:val="22"/>
          <w:lang w:val="en-US" w:eastAsia="zh-CN"/>
        </w:rPr>
        <w:t>广州市白云区人民政府大源街道办事处</w:t>
      </w:r>
    </w:p>
    <w:p>
      <w:pPr>
        <w:spacing w:line="244" w:lineRule="auto"/>
        <w:ind w:right="123"/>
        <w:jc w:val="right"/>
        <w:rPr>
          <w:rFonts w:hint="eastAsia" w:ascii="宋体" w:hAnsi="宋体" w:cs="宋体"/>
          <w:color w:val="000000"/>
          <w:kern w:val="0"/>
          <w:sz w:val="24"/>
          <w:szCs w:val="22"/>
          <w:highlight w:val="none"/>
          <w:lang w:val="en-US" w:eastAsia="zh-CN"/>
        </w:rPr>
      </w:pPr>
      <w:r>
        <w:rPr>
          <w:rFonts w:hint="eastAsia" w:ascii="宋体" w:hAnsi="宋体" w:cs="宋体"/>
          <w:color w:val="000000"/>
          <w:kern w:val="0"/>
          <w:sz w:val="24"/>
          <w:szCs w:val="22"/>
          <w:highlight w:val="none"/>
          <w:lang w:val="en-US" w:eastAsia="zh-CN"/>
        </w:rPr>
        <w:t>2024年4月8日</w:t>
      </w:r>
    </w:p>
    <w:p>
      <w:pPr>
        <w:spacing w:line="244" w:lineRule="auto"/>
        <w:ind w:right="123"/>
        <w:jc w:val="left"/>
        <w:rPr>
          <w:rFonts w:hint="eastAsia" w:ascii="宋体" w:hAnsi="宋体" w:cs="宋体"/>
          <w:color w:val="000000"/>
          <w:kern w:val="0"/>
          <w:sz w:val="24"/>
          <w:szCs w:val="22"/>
        </w:rPr>
      </w:pPr>
    </w:p>
    <w:p>
      <w:bookmarkStart w:id="2" w:name="_GoBack"/>
      <w:bookmarkEnd w:id="2"/>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7B1F"/>
    <w:multiLevelType w:val="multilevel"/>
    <w:tmpl w:val="11437B1F"/>
    <w:lvl w:ilvl="0" w:tentative="0">
      <w:start w:val="2"/>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7D62BA"/>
    <w:multiLevelType w:val="multilevel"/>
    <w:tmpl w:val="517D62BA"/>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CA1067"/>
    <w:multiLevelType w:val="multilevel"/>
    <w:tmpl w:val="54CA1067"/>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1A83638"/>
    <w:multiLevelType w:val="multilevel"/>
    <w:tmpl w:val="61A83638"/>
    <w:lvl w:ilvl="0" w:tentative="0">
      <w:start w:val="1"/>
      <w:numFmt w:val="chineseCountingThousand"/>
      <w:pStyle w:val="2"/>
      <w:lvlText w:val="%1."/>
      <w:lvlJc w:val="left"/>
      <w:pPr>
        <w:ind w:left="0" w:firstLine="0"/>
      </w:p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isLg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OTg1ODA5ODU0Y2E5MzdmYzhiOWUwMDQwZWFkOGIifQ=="/>
  </w:docVars>
  <w:rsids>
    <w:rsidRoot w:val="139F7AA4"/>
    <w:rsid w:val="02AE1888"/>
    <w:rsid w:val="10757115"/>
    <w:rsid w:val="139F7AA4"/>
    <w:rsid w:val="23FE2E27"/>
    <w:rsid w:val="2E225317"/>
    <w:rsid w:val="2EFFC0D6"/>
    <w:rsid w:val="329A7E62"/>
    <w:rsid w:val="44A374D5"/>
    <w:rsid w:val="55E16F6A"/>
    <w:rsid w:val="57881ACD"/>
    <w:rsid w:val="66967DC6"/>
    <w:rsid w:val="6CD81721"/>
    <w:rsid w:val="757F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0" w:after="10" w:line="480" w:lineRule="auto"/>
      <w:outlineLvl w:val="0"/>
    </w:pPr>
    <w:rPr>
      <w:rFonts w:ascii="黑体" w:hAnsi="黑体" w:eastAsia="黑体" w:cs="宋体"/>
      <w:b/>
      <w:bCs/>
      <w:kern w:val="44"/>
      <w:sz w:val="36"/>
      <w:szCs w:val="44"/>
    </w:rPr>
  </w:style>
  <w:style w:type="paragraph" w:styleId="3">
    <w:name w:val="heading 2"/>
    <w:basedOn w:val="1"/>
    <w:next w:val="1"/>
    <w:qFormat/>
    <w:uiPriority w:val="99"/>
    <w:pPr>
      <w:keepNext/>
      <w:keepLines/>
      <w:spacing w:before="260" w:beforeLines="0" w:after="260" w:afterLines="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1140</Words>
  <Characters>1198</Characters>
  <Lines>0</Lines>
  <Paragraphs>0</Paragraphs>
  <TotalTime>39</TotalTime>
  <ScaleCrop>false</ScaleCrop>
  <LinksUpToDate>false</LinksUpToDate>
  <CharactersWithSpaces>1201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2021-05-03T20:19:00Z</dcterms:created>
  <dc:creator>liu</dc:creator>
  <cp:lastModifiedBy>Yi晓ng</cp:lastModifiedBy>
  <dcterms:modified xsi:type="dcterms:W3CDTF">2024-04-08T03:17:53Z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3BB006D1B0764E4AA75CDB1F81497BFE_13</vt:lpwstr>
  </property>
</Properties>
</file>