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widowControl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年度电动汽车充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eastAsia="zh-CN"/>
        </w:rPr>
        <w:t>（换）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电基础设施建设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补贴资金项目申报书</w:t>
      </w: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640"/>
        <w:rPr>
          <w:rFonts w:ascii="Times New Roman"/>
        </w:rPr>
      </w:pPr>
    </w:p>
    <w:p>
      <w:pPr>
        <w:snapToGrid w:val="0"/>
        <w:spacing w:line="360" w:lineRule="auto"/>
        <w:ind w:firstLine="944" w:firstLineChars="295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>联   系   人：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填表时间：    年   月   日     </w:t>
      </w:r>
    </w:p>
    <w:p>
      <w:pPr>
        <w:numPr>
          <w:ilvl w:val="0"/>
          <w:numId w:val="0"/>
        </w:numPr>
        <w:snapToGrid w:val="0"/>
        <w:spacing w:line="520" w:lineRule="exact"/>
        <w:ind w:left="630" w:leftChars="0"/>
        <w:rPr>
          <w:rFonts w:hint="eastAsia" w:eastAsia="仿宋_GB2312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520" w:lineRule="exact"/>
        <w:rPr>
          <w:rFonts w:hint="eastAsia" w:eastAsia="仿宋_GB2312" w:cs="Times New Roman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7A21"/>
    <w:rsid w:val="38C4037B"/>
    <w:rsid w:val="7E0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2022-09-08T09:15:00Z</dcterms:created>
  <dc:creator>颜月霞</dc:creator>
  <cp:lastModifiedBy>李健祥</cp:lastModifiedBy>
  <dcterms:modified xsi:type="dcterms:W3CDTF">2022-10-19T02:56:34Z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