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年度电动汽车充电基础设施建设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44"/>
          <w:sz w:val="44"/>
          <w:szCs w:val="44"/>
        </w:rPr>
        <w:t>补贴资金项目真实性承诺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kern w:val="44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广州市白云区科技工业商务和信息化局：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作为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年度电动汽车充电基础设施建设补贴资金项目申报单位，本公司郑重承诺: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对项目和申报材料的真实性、完整性负责，对申报资格和申报条件的符合性负责；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在专项审计、资金申报、绩效评价、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等方面出现过违法违规情况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zh-CN"/>
        </w:rPr>
        <w:t>；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贯彻落实企业安全生产主体责任，及时消除安全生产事故隐患。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违反上述承诺的不诚信行为，同意有关部门录入相关的企业征信体系中。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如被发现存在同一项目重复申报，骗取财政补贴资金的行为，则自愿放弃今年及以后申报充电基础设施建设项目补贴资金的资格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>并退回相关财政补贴资金。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如申报项目获电动汽车充电基础设施建设补贴资金支持，则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保证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将严格按照《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/>
        </w:rPr>
        <w:t>广州市电动汽车充电基础设施补贴资金管理办法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》有关规定做好项目实施、财政资金使用管理等工作，确保财政资金专款专用、专账核算、专账管理，并承担相关违法违规责任。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申报单位（盖章）：           法人代表（签字）：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280" w:firstLineChars="4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32"/>
        </w:rPr>
        <w:t>年   月   日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3C6043"/>
    <w:rsid w:val="00620909"/>
    <w:rsid w:val="06C7357E"/>
    <w:rsid w:val="09002112"/>
    <w:rsid w:val="0B3C6043"/>
    <w:rsid w:val="29E44012"/>
    <w:rsid w:val="30CC54F0"/>
    <w:rsid w:val="41FD6251"/>
    <w:rsid w:val="4AEC567C"/>
    <w:rsid w:val="57E14C93"/>
    <w:rsid w:val="5FB7149A"/>
    <w:rsid w:val="6616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2022-09-08T09:15:00Z</dcterms:created>
  <dc:creator>颜月霞</dc:creator>
  <cp:lastModifiedBy>区科技工业商务和信息化局</cp:lastModifiedBy>
  <dcterms:modified xsi:type="dcterms:W3CDTF">2024-02-22T07:46:44Z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B71CAD5DB8C8427F9BAB20ED8FAB854C</vt:lpwstr>
  </property>
</Properties>
</file>